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Pr="00116BDC" w:rsidRDefault="006816EC" w:rsidP="006816EC">
      <w:pPr>
        <w:suppressLineNumbers/>
        <w:rPr>
          <w:sz w:val="26"/>
          <w:szCs w:val="26"/>
        </w:rPr>
      </w:pPr>
    </w:p>
    <w:tbl>
      <w:tblPr>
        <w:tblStyle w:val="a9"/>
        <w:bidiVisual/>
        <w:tblW w:w="865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084"/>
        <w:gridCol w:w="5571"/>
      </w:tblGrid>
      <w:tr w:rsidR="00116BDC" w:rsidRPr="00116BDC" w:rsidTr="00F12B2B">
        <w:trPr>
          <w:jc w:val="center"/>
        </w:trPr>
        <w:tc>
          <w:tcPr>
            <w:tcW w:w="8655" w:type="dxa"/>
            <w:gridSpan w:val="2"/>
          </w:tcPr>
          <w:p w:rsidR="00F12B2B" w:rsidRPr="00116BDC" w:rsidRDefault="00F12B2B">
            <w:pPr>
              <w:suppressLineNumbers/>
              <w:jc w:val="both"/>
              <w:rPr>
                <w:rFonts w:ascii="Arial" w:hAnsi="Arial"/>
                <w:b/>
                <w:bCs/>
                <w:sz w:val="26"/>
                <w:szCs w:val="26"/>
              </w:rPr>
            </w:pPr>
            <w:r w:rsidRPr="00116BDC">
              <w:rPr>
                <w:rFonts w:ascii="Arial" w:hAnsi="Arial"/>
                <w:b/>
                <w:bCs/>
                <w:sz w:val="26"/>
                <w:szCs w:val="26"/>
                <w:rtl/>
              </w:rPr>
              <w:t>לפני כבוד השופטת  שני כ"ץ</w:t>
            </w:r>
          </w:p>
          <w:p w:rsidR="00F12B2B" w:rsidRPr="00116BDC" w:rsidRDefault="00F12B2B">
            <w:pPr>
              <w:suppressLineNumbers/>
              <w:rPr>
                <w:rFonts w:ascii="Arial" w:hAnsi="Arial" w:cs="FrankRuehl"/>
                <w:b/>
                <w:bCs/>
                <w:sz w:val="26"/>
                <w:szCs w:val="26"/>
                <w:highlight w:val="yellow"/>
                <w:rtl/>
              </w:rPr>
            </w:pPr>
          </w:p>
        </w:tc>
      </w:tr>
      <w:tr w:rsidR="00116BDC" w:rsidRPr="00116BDC" w:rsidTr="00F12B2B">
        <w:trPr>
          <w:jc w:val="center"/>
        </w:trPr>
        <w:tc>
          <w:tcPr>
            <w:tcW w:w="3084" w:type="dxa"/>
          </w:tcPr>
          <w:p w:rsidR="00F12B2B" w:rsidRPr="00116BDC" w:rsidRDefault="00F12B2B">
            <w:pPr>
              <w:suppressLineNumbers/>
              <w:rPr>
                <w:rFonts w:ascii="Arial" w:hAnsi="Arial"/>
                <w:b/>
                <w:bCs/>
                <w:noProof w:val="0"/>
                <w:sz w:val="26"/>
                <w:szCs w:val="26"/>
              </w:rPr>
            </w:pPr>
          </w:p>
          <w:p w:rsidR="00F12B2B" w:rsidRPr="00116BDC" w:rsidRDefault="00F12B2B">
            <w:pPr>
              <w:suppressLineNumbers/>
              <w:rPr>
                <w:rFonts w:ascii="Arial" w:hAnsi="Arial"/>
                <w:b/>
                <w:bCs/>
                <w:noProof w:val="0"/>
                <w:sz w:val="26"/>
                <w:szCs w:val="26"/>
              </w:rPr>
            </w:pPr>
            <w:r w:rsidRPr="00116BDC">
              <w:rPr>
                <w:rFonts w:ascii="Arial" w:hAnsi="Arial"/>
                <w:b/>
                <w:bCs/>
                <w:noProof w:val="0"/>
                <w:sz w:val="26"/>
                <w:szCs w:val="26"/>
                <w:rtl/>
              </w:rPr>
              <w:t>תובעת</w:t>
            </w:r>
          </w:p>
        </w:tc>
        <w:tc>
          <w:tcPr>
            <w:tcW w:w="5571" w:type="dxa"/>
          </w:tcPr>
          <w:p w:rsidR="00F12B2B" w:rsidRPr="00116BDC" w:rsidRDefault="00F12B2B">
            <w:pPr>
              <w:suppressLineNumbers/>
              <w:rPr>
                <w:rFonts w:ascii="Arial" w:hAnsi="Arial"/>
                <w:b/>
                <w:bCs/>
                <w:noProof w:val="0"/>
                <w:sz w:val="26"/>
                <w:szCs w:val="26"/>
                <w:rtl/>
              </w:rPr>
            </w:pPr>
          </w:p>
          <w:p w:rsidR="00F12B2B" w:rsidRPr="00116BDC" w:rsidRDefault="00E731CA">
            <w:pPr>
              <w:suppressLineNumbers/>
              <w:rPr>
                <w:rFonts w:ascii="Arial" w:hAnsi="Arial"/>
                <w:b/>
                <w:bCs/>
                <w:noProof w:val="0"/>
                <w:sz w:val="26"/>
                <w:szCs w:val="26"/>
                <w:rtl/>
              </w:rPr>
            </w:pPr>
            <w:r>
              <w:rPr>
                <w:rFonts w:ascii="Arial" w:hAnsi="Arial" w:hint="cs"/>
                <w:b/>
                <w:bCs/>
                <w:noProof w:val="0"/>
                <w:sz w:val="26"/>
                <w:szCs w:val="26"/>
                <w:rtl/>
              </w:rPr>
              <w:t>פלונית</w:t>
            </w:r>
          </w:p>
          <w:p w:rsidR="00F12B2B" w:rsidRPr="00116BDC" w:rsidRDefault="00F12B2B">
            <w:pPr>
              <w:suppressLineNumbers/>
              <w:rPr>
                <w:b/>
                <w:bCs/>
                <w:noProof w:val="0"/>
                <w:sz w:val="26"/>
                <w:szCs w:val="26"/>
                <w:rtl/>
              </w:rPr>
            </w:pPr>
            <w:r w:rsidRPr="00116BDC">
              <w:rPr>
                <w:b/>
                <w:bCs/>
                <w:noProof w:val="0"/>
                <w:sz w:val="26"/>
                <w:szCs w:val="26"/>
                <w:rtl/>
              </w:rPr>
              <w:t>ע"י ב"כ עוה"ד שירלי נגר כהן</w:t>
            </w:r>
          </w:p>
        </w:tc>
      </w:tr>
      <w:tr w:rsidR="00116BDC" w:rsidRPr="00116BDC" w:rsidTr="00F12B2B">
        <w:trPr>
          <w:jc w:val="center"/>
        </w:trPr>
        <w:tc>
          <w:tcPr>
            <w:tcW w:w="8655" w:type="dxa"/>
            <w:gridSpan w:val="2"/>
          </w:tcPr>
          <w:p w:rsidR="00F12B2B" w:rsidRPr="00116BDC" w:rsidRDefault="00F12B2B">
            <w:pPr>
              <w:suppressLineNumbers/>
              <w:rPr>
                <w:rFonts w:ascii="Arial" w:hAnsi="Arial"/>
                <w:b/>
                <w:bCs/>
                <w:noProof w:val="0"/>
                <w:sz w:val="26"/>
                <w:szCs w:val="26"/>
              </w:rPr>
            </w:pPr>
          </w:p>
          <w:p w:rsidR="00F12B2B" w:rsidRPr="00116BDC" w:rsidRDefault="00F12B2B">
            <w:pPr>
              <w:suppressLineNumbers/>
              <w:jc w:val="center"/>
              <w:rPr>
                <w:rFonts w:ascii="Arial" w:hAnsi="Arial"/>
                <w:b/>
                <w:bCs/>
                <w:noProof w:val="0"/>
                <w:sz w:val="26"/>
                <w:szCs w:val="26"/>
                <w:rtl/>
              </w:rPr>
            </w:pPr>
            <w:r w:rsidRPr="00116BDC">
              <w:rPr>
                <w:rFonts w:ascii="Arial" w:hAnsi="Arial"/>
                <w:b/>
                <w:bCs/>
                <w:noProof w:val="0"/>
                <w:sz w:val="26"/>
                <w:szCs w:val="26"/>
                <w:rtl/>
              </w:rPr>
              <w:t>נגד</w:t>
            </w:r>
          </w:p>
          <w:p w:rsidR="00F12B2B" w:rsidRPr="00116BDC" w:rsidRDefault="00F12B2B">
            <w:pPr>
              <w:suppressLineNumbers/>
              <w:rPr>
                <w:rFonts w:ascii="Arial" w:hAnsi="Arial"/>
                <w:b/>
                <w:bCs/>
                <w:noProof w:val="0"/>
                <w:sz w:val="26"/>
                <w:szCs w:val="26"/>
                <w:rtl/>
              </w:rPr>
            </w:pPr>
          </w:p>
        </w:tc>
      </w:tr>
      <w:tr w:rsidR="00116BDC" w:rsidRPr="00116BDC" w:rsidTr="00F12B2B">
        <w:trPr>
          <w:jc w:val="center"/>
        </w:trPr>
        <w:tc>
          <w:tcPr>
            <w:tcW w:w="3084" w:type="dxa"/>
          </w:tcPr>
          <w:p w:rsidR="00F12B2B" w:rsidRPr="00116BDC" w:rsidRDefault="00B74855">
            <w:pPr>
              <w:suppressLineNumbers/>
              <w:rPr>
                <w:rFonts w:ascii="Arial" w:hAnsi="Arial"/>
                <w:b/>
                <w:bCs/>
                <w:noProof w:val="0"/>
                <w:sz w:val="26"/>
                <w:szCs w:val="26"/>
              </w:rPr>
            </w:pPr>
            <w:r>
              <w:rPr>
                <w:rFonts w:ascii="Arial" w:hAnsi="Arial"/>
                <w:b/>
                <w:bCs/>
                <w:noProof w:val="0"/>
                <w:sz w:val="26"/>
                <w:szCs w:val="26"/>
                <w:rtl/>
              </w:rPr>
              <w:t>נתבע</w:t>
            </w:r>
          </w:p>
          <w:p w:rsidR="00F12B2B" w:rsidRPr="00116BDC" w:rsidRDefault="00F12B2B">
            <w:pPr>
              <w:suppressLineNumbers/>
              <w:rPr>
                <w:rFonts w:ascii="Arial" w:hAnsi="Arial"/>
                <w:b/>
                <w:bCs/>
                <w:noProof w:val="0"/>
                <w:sz w:val="26"/>
                <w:szCs w:val="26"/>
                <w:rtl/>
              </w:rPr>
            </w:pPr>
          </w:p>
          <w:p w:rsidR="00F12B2B" w:rsidRPr="00116BDC" w:rsidRDefault="00F12B2B">
            <w:pPr>
              <w:suppressLineNumbers/>
              <w:rPr>
                <w:rFonts w:ascii="Arial" w:hAnsi="Arial"/>
                <w:b/>
                <w:bCs/>
                <w:noProof w:val="0"/>
                <w:sz w:val="26"/>
                <w:szCs w:val="26"/>
                <w:rtl/>
              </w:rPr>
            </w:pPr>
          </w:p>
          <w:p w:rsidR="00F12B2B" w:rsidRPr="00116BDC" w:rsidRDefault="00F12B2B">
            <w:pPr>
              <w:suppressLineNumbers/>
              <w:rPr>
                <w:rFonts w:ascii="Arial" w:hAnsi="Arial"/>
                <w:b/>
                <w:bCs/>
                <w:noProof w:val="0"/>
                <w:sz w:val="26"/>
                <w:szCs w:val="26"/>
                <w:rtl/>
              </w:rPr>
            </w:pPr>
          </w:p>
        </w:tc>
        <w:tc>
          <w:tcPr>
            <w:tcW w:w="5571" w:type="dxa"/>
          </w:tcPr>
          <w:p w:rsidR="00F12B2B" w:rsidRPr="00116BDC" w:rsidRDefault="00E731CA">
            <w:pPr>
              <w:suppressLineNumbers/>
              <w:rPr>
                <w:rFonts w:ascii="Arial" w:hAnsi="Arial"/>
                <w:b/>
                <w:bCs/>
                <w:noProof w:val="0"/>
                <w:sz w:val="26"/>
                <w:szCs w:val="26"/>
              </w:rPr>
            </w:pPr>
            <w:r>
              <w:rPr>
                <w:rFonts w:ascii="Arial" w:hAnsi="Arial" w:hint="cs"/>
                <w:b/>
                <w:bCs/>
                <w:noProof w:val="0"/>
                <w:sz w:val="26"/>
                <w:szCs w:val="26"/>
                <w:rtl/>
              </w:rPr>
              <w:t>אלמוני</w:t>
            </w:r>
          </w:p>
          <w:p w:rsidR="00F12B2B" w:rsidRPr="00116BDC" w:rsidRDefault="00F12B2B">
            <w:pPr>
              <w:suppressLineNumbers/>
              <w:rPr>
                <w:rFonts w:ascii="Arial" w:hAnsi="Arial"/>
                <w:b/>
                <w:bCs/>
                <w:noProof w:val="0"/>
                <w:sz w:val="26"/>
                <w:szCs w:val="26"/>
                <w:rtl/>
              </w:rPr>
            </w:pPr>
            <w:r w:rsidRPr="00116BDC">
              <w:rPr>
                <w:rFonts w:ascii="Arial" w:hAnsi="Arial"/>
                <w:b/>
                <w:bCs/>
                <w:noProof w:val="0"/>
                <w:sz w:val="26"/>
                <w:szCs w:val="26"/>
                <w:rtl/>
              </w:rPr>
              <w:t>ע"י ב"כ עוה"ד זהבית מקונן צוקרמן</w:t>
            </w:r>
          </w:p>
          <w:p w:rsidR="00F12B2B" w:rsidRPr="00116BDC" w:rsidRDefault="00F12B2B">
            <w:pPr>
              <w:suppressLineNumbers/>
              <w:rPr>
                <w:b/>
                <w:bCs/>
                <w:noProof w:val="0"/>
                <w:sz w:val="26"/>
                <w:szCs w:val="26"/>
                <w:rtl/>
              </w:rPr>
            </w:pPr>
          </w:p>
        </w:tc>
      </w:tr>
      <w:tr w:rsidR="00116BDC" w:rsidRPr="00116BDC" w:rsidTr="00F12B2B">
        <w:trPr>
          <w:jc w:val="center"/>
        </w:trPr>
        <w:tc>
          <w:tcPr>
            <w:tcW w:w="3084" w:type="dxa"/>
            <w:hideMark/>
          </w:tcPr>
          <w:p w:rsidR="00F12B2B" w:rsidRPr="00116BDC" w:rsidRDefault="00F12B2B">
            <w:pPr>
              <w:rPr>
                <w:rFonts w:ascii="David" w:eastAsia="David" w:hAnsi="David"/>
                <w:b/>
                <w:bCs/>
                <w:noProof w:val="0"/>
                <w:sz w:val="26"/>
                <w:szCs w:val="26"/>
                <w:rtl/>
              </w:rPr>
            </w:pPr>
            <w:r w:rsidRPr="00116BDC">
              <w:rPr>
                <w:rFonts w:ascii="David" w:eastAsia="David" w:hAnsi="David"/>
                <w:b/>
                <w:bCs/>
                <w:noProof w:val="0"/>
                <w:sz w:val="26"/>
                <w:szCs w:val="26"/>
                <w:rtl/>
              </w:rPr>
              <w:t>בעניין הקטינים:</w:t>
            </w:r>
          </w:p>
        </w:tc>
        <w:tc>
          <w:tcPr>
            <w:tcW w:w="5571" w:type="dxa"/>
            <w:hideMark/>
          </w:tcPr>
          <w:p w:rsidR="00F12B2B" w:rsidRPr="00116BDC" w:rsidRDefault="00F12B2B" w:rsidP="00E731CA">
            <w:pPr>
              <w:rPr>
                <w:b/>
                <w:bCs/>
                <w:sz w:val="26"/>
                <w:szCs w:val="26"/>
              </w:rPr>
            </w:pPr>
            <w:r w:rsidRPr="00116BDC">
              <w:rPr>
                <w:b/>
                <w:bCs/>
                <w:sz w:val="26"/>
                <w:szCs w:val="26"/>
                <w:rtl/>
              </w:rPr>
              <w:t xml:space="preserve">1. </w:t>
            </w:r>
            <w:r w:rsidR="00E731CA">
              <w:rPr>
                <w:rFonts w:hint="cs"/>
                <w:b/>
                <w:bCs/>
                <w:sz w:val="26"/>
                <w:szCs w:val="26"/>
                <w:rtl/>
              </w:rPr>
              <w:t>ע.ט</w:t>
            </w:r>
            <w:r w:rsidRPr="00116BDC">
              <w:rPr>
                <w:b/>
                <w:bCs/>
                <w:sz w:val="26"/>
                <w:szCs w:val="26"/>
                <w:rtl/>
              </w:rPr>
              <w:t xml:space="preserve">, יליד </w:t>
            </w:r>
            <w:r w:rsidR="00E731CA">
              <w:rPr>
                <w:rFonts w:hint="cs"/>
                <w:b/>
                <w:bCs/>
                <w:sz w:val="26"/>
                <w:szCs w:val="26"/>
                <w:rtl/>
              </w:rPr>
              <w:t>00</w:t>
            </w:r>
            <w:r w:rsidRPr="00116BDC">
              <w:rPr>
                <w:b/>
                <w:bCs/>
                <w:sz w:val="26"/>
                <w:szCs w:val="26"/>
                <w:rtl/>
              </w:rPr>
              <w:t>.</w:t>
            </w:r>
            <w:r w:rsidR="00E731CA">
              <w:rPr>
                <w:rFonts w:hint="cs"/>
                <w:b/>
                <w:bCs/>
                <w:sz w:val="26"/>
                <w:szCs w:val="26"/>
                <w:rtl/>
              </w:rPr>
              <w:t>00</w:t>
            </w:r>
            <w:r w:rsidRPr="00116BDC">
              <w:rPr>
                <w:b/>
                <w:bCs/>
                <w:sz w:val="26"/>
                <w:szCs w:val="26"/>
                <w:rtl/>
              </w:rPr>
              <w:t>.2012</w:t>
            </w:r>
          </w:p>
          <w:p w:rsidR="00F12B2B" w:rsidRPr="00116BDC" w:rsidRDefault="00F12B2B" w:rsidP="00E731CA">
            <w:pPr>
              <w:rPr>
                <w:b/>
                <w:bCs/>
                <w:sz w:val="26"/>
                <w:szCs w:val="26"/>
                <w:rtl/>
              </w:rPr>
            </w:pPr>
            <w:r w:rsidRPr="00116BDC">
              <w:rPr>
                <w:b/>
                <w:bCs/>
                <w:sz w:val="26"/>
                <w:szCs w:val="26"/>
                <w:rtl/>
              </w:rPr>
              <w:t>2. א</w:t>
            </w:r>
            <w:r w:rsidR="00E731CA">
              <w:rPr>
                <w:rFonts w:hint="cs"/>
                <w:b/>
                <w:bCs/>
                <w:sz w:val="26"/>
                <w:szCs w:val="26"/>
                <w:rtl/>
              </w:rPr>
              <w:t>.</w:t>
            </w:r>
            <w:r w:rsidRPr="00116BDC">
              <w:rPr>
                <w:b/>
                <w:bCs/>
                <w:sz w:val="26"/>
                <w:szCs w:val="26"/>
                <w:rtl/>
              </w:rPr>
              <w:t>ט</w:t>
            </w:r>
            <w:r w:rsidR="00E731CA">
              <w:rPr>
                <w:rFonts w:hint="cs"/>
                <w:b/>
                <w:bCs/>
                <w:sz w:val="26"/>
                <w:szCs w:val="26"/>
                <w:rtl/>
              </w:rPr>
              <w:t>,</w:t>
            </w:r>
            <w:r w:rsidRPr="00116BDC">
              <w:rPr>
                <w:b/>
                <w:bCs/>
                <w:sz w:val="26"/>
                <w:szCs w:val="26"/>
                <w:rtl/>
              </w:rPr>
              <w:t xml:space="preserve"> ילידת </w:t>
            </w:r>
            <w:r w:rsidR="00E731CA">
              <w:rPr>
                <w:rFonts w:hint="cs"/>
                <w:b/>
                <w:bCs/>
                <w:sz w:val="26"/>
                <w:szCs w:val="26"/>
                <w:rtl/>
              </w:rPr>
              <w:t>00</w:t>
            </w:r>
            <w:r w:rsidRPr="00116BDC">
              <w:rPr>
                <w:b/>
                <w:bCs/>
                <w:sz w:val="26"/>
                <w:szCs w:val="26"/>
                <w:rtl/>
              </w:rPr>
              <w:t>.</w:t>
            </w:r>
            <w:r w:rsidR="00E731CA">
              <w:rPr>
                <w:rFonts w:hint="cs"/>
                <w:b/>
                <w:bCs/>
                <w:sz w:val="26"/>
                <w:szCs w:val="26"/>
                <w:rtl/>
              </w:rPr>
              <w:t>00</w:t>
            </w:r>
            <w:r w:rsidRPr="00116BDC">
              <w:rPr>
                <w:b/>
                <w:bCs/>
                <w:sz w:val="26"/>
                <w:szCs w:val="26"/>
                <w:rtl/>
              </w:rPr>
              <w:t>.2015</w:t>
            </w:r>
          </w:p>
          <w:p w:rsidR="00F12B2B" w:rsidRPr="00116BDC" w:rsidRDefault="00F12B2B" w:rsidP="00E731CA">
            <w:pPr>
              <w:rPr>
                <w:b/>
                <w:bCs/>
                <w:sz w:val="26"/>
                <w:szCs w:val="26"/>
                <w:rtl/>
              </w:rPr>
            </w:pPr>
            <w:r w:rsidRPr="00116BDC">
              <w:rPr>
                <w:b/>
                <w:bCs/>
                <w:sz w:val="26"/>
                <w:szCs w:val="26"/>
                <w:rtl/>
              </w:rPr>
              <w:t xml:space="preserve">3. </w:t>
            </w:r>
            <w:r w:rsidR="00731B20">
              <w:rPr>
                <w:rFonts w:hint="cs"/>
                <w:b/>
                <w:bCs/>
                <w:sz w:val="26"/>
                <w:szCs w:val="26"/>
                <w:rtl/>
              </w:rPr>
              <w:t>נ</w:t>
            </w:r>
            <w:r w:rsidR="00731B20">
              <w:rPr>
                <w:b/>
                <w:bCs/>
                <w:sz w:val="26"/>
                <w:szCs w:val="26"/>
                <w:rtl/>
              </w:rPr>
              <w:t>'</w:t>
            </w:r>
            <w:r w:rsidR="00E731CA">
              <w:rPr>
                <w:rFonts w:hint="cs"/>
                <w:b/>
                <w:bCs/>
                <w:sz w:val="26"/>
                <w:szCs w:val="26"/>
                <w:rtl/>
              </w:rPr>
              <w:t xml:space="preserve">.ט, </w:t>
            </w:r>
            <w:r w:rsidRPr="00116BDC">
              <w:rPr>
                <w:b/>
                <w:bCs/>
                <w:sz w:val="26"/>
                <w:szCs w:val="26"/>
                <w:rtl/>
              </w:rPr>
              <w:t xml:space="preserve">יליד </w:t>
            </w:r>
            <w:r w:rsidR="00E731CA">
              <w:rPr>
                <w:rFonts w:hint="cs"/>
                <w:b/>
                <w:bCs/>
                <w:sz w:val="26"/>
                <w:szCs w:val="26"/>
                <w:rtl/>
              </w:rPr>
              <w:t>00</w:t>
            </w:r>
            <w:r w:rsidRPr="00116BDC">
              <w:rPr>
                <w:b/>
                <w:bCs/>
                <w:sz w:val="26"/>
                <w:szCs w:val="26"/>
                <w:rtl/>
              </w:rPr>
              <w:t>.</w:t>
            </w:r>
            <w:r w:rsidR="00E731CA">
              <w:rPr>
                <w:rFonts w:hint="cs"/>
                <w:b/>
                <w:bCs/>
                <w:sz w:val="26"/>
                <w:szCs w:val="26"/>
                <w:rtl/>
              </w:rPr>
              <w:t>00</w:t>
            </w:r>
            <w:r w:rsidRPr="00116BDC">
              <w:rPr>
                <w:b/>
                <w:bCs/>
                <w:sz w:val="26"/>
                <w:szCs w:val="26"/>
                <w:rtl/>
              </w:rPr>
              <w:t>.2018</w:t>
            </w:r>
          </w:p>
          <w:p w:rsidR="00F12B2B" w:rsidRPr="00116BDC" w:rsidRDefault="00F12B2B" w:rsidP="00E731CA">
            <w:pPr>
              <w:rPr>
                <w:b/>
                <w:bCs/>
                <w:sz w:val="26"/>
                <w:szCs w:val="26"/>
                <w:rtl/>
              </w:rPr>
            </w:pPr>
            <w:r w:rsidRPr="00116BDC">
              <w:rPr>
                <w:b/>
                <w:bCs/>
                <w:sz w:val="26"/>
                <w:szCs w:val="26"/>
                <w:rtl/>
              </w:rPr>
              <w:t>4. י</w:t>
            </w:r>
            <w:r w:rsidR="00E731CA">
              <w:rPr>
                <w:rFonts w:hint="cs"/>
                <w:b/>
                <w:bCs/>
                <w:sz w:val="26"/>
                <w:szCs w:val="26"/>
                <w:rtl/>
              </w:rPr>
              <w:t>.</w:t>
            </w:r>
            <w:r w:rsidRPr="00116BDC">
              <w:rPr>
                <w:b/>
                <w:bCs/>
                <w:sz w:val="26"/>
                <w:szCs w:val="26"/>
                <w:rtl/>
              </w:rPr>
              <w:t>ט</w:t>
            </w:r>
            <w:r w:rsidR="00E731CA">
              <w:rPr>
                <w:rFonts w:hint="cs"/>
                <w:b/>
                <w:bCs/>
                <w:sz w:val="26"/>
                <w:szCs w:val="26"/>
                <w:rtl/>
              </w:rPr>
              <w:t>,</w:t>
            </w:r>
            <w:r w:rsidRPr="00116BDC">
              <w:rPr>
                <w:b/>
                <w:bCs/>
                <w:sz w:val="26"/>
                <w:szCs w:val="26"/>
                <w:rtl/>
              </w:rPr>
              <w:t xml:space="preserve"> יליד </w:t>
            </w:r>
            <w:r w:rsidR="00E731CA">
              <w:rPr>
                <w:rFonts w:hint="cs"/>
                <w:b/>
                <w:bCs/>
                <w:sz w:val="26"/>
                <w:szCs w:val="26"/>
                <w:rtl/>
              </w:rPr>
              <w:t>00</w:t>
            </w:r>
            <w:r w:rsidRPr="00116BDC">
              <w:rPr>
                <w:b/>
                <w:bCs/>
                <w:sz w:val="26"/>
                <w:szCs w:val="26"/>
                <w:rtl/>
              </w:rPr>
              <w:t>.</w:t>
            </w:r>
            <w:r w:rsidR="00E731CA">
              <w:rPr>
                <w:rFonts w:hint="cs"/>
                <w:b/>
                <w:bCs/>
                <w:sz w:val="26"/>
                <w:szCs w:val="26"/>
                <w:rtl/>
              </w:rPr>
              <w:t>00</w:t>
            </w:r>
            <w:r w:rsidRPr="00116BDC">
              <w:rPr>
                <w:b/>
                <w:bCs/>
                <w:sz w:val="26"/>
                <w:szCs w:val="26"/>
                <w:rtl/>
              </w:rPr>
              <w:t>.2020</w:t>
            </w:r>
          </w:p>
          <w:p w:rsidR="00F12B2B" w:rsidRPr="00116BDC" w:rsidRDefault="00F12B2B">
            <w:pPr>
              <w:rPr>
                <w:b/>
                <w:bCs/>
                <w:sz w:val="26"/>
                <w:szCs w:val="26"/>
                <w:rtl/>
              </w:rPr>
            </w:pPr>
          </w:p>
          <w:p w:rsidR="00F12B2B" w:rsidRPr="00116BDC" w:rsidRDefault="00F12B2B" w:rsidP="00F12B2B">
            <w:pPr>
              <w:jc w:val="right"/>
              <w:rPr>
                <w:b/>
                <w:bCs/>
                <w:sz w:val="26"/>
                <w:szCs w:val="26"/>
                <w:rtl/>
              </w:rPr>
            </w:pPr>
            <w:r w:rsidRPr="00116BDC">
              <w:rPr>
                <w:rFonts w:hint="cs"/>
                <w:b/>
                <w:bCs/>
                <w:sz w:val="26"/>
                <w:szCs w:val="26"/>
                <w:rtl/>
              </w:rPr>
              <w:t>(להלן: "הקטינים")</w:t>
            </w:r>
          </w:p>
        </w:tc>
      </w:tr>
    </w:tbl>
    <w:p w:rsidR="006816EC" w:rsidRPr="00116BDC" w:rsidRDefault="006816EC" w:rsidP="006816EC">
      <w:pPr>
        <w:suppressLineNumbers/>
        <w:rPr>
          <w:rFonts w:ascii="Arial (W1)" w:hAnsi="Arial (W1)"/>
          <w:sz w:val="28"/>
          <w:szCs w:val="28"/>
          <w:rtl/>
        </w:rPr>
      </w:pPr>
    </w:p>
    <w:p w:rsidR="006816EC" w:rsidRPr="00116BD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116BDC" w:rsidRPr="00116BDC">
        <w:trPr>
          <w:jc w:val="center"/>
        </w:trPr>
        <w:tc>
          <w:tcPr>
            <w:tcW w:w="8820" w:type="dxa"/>
          </w:tcPr>
          <w:p w:rsidR="00694556" w:rsidRPr="00116BDC" w:rsidRDefault="00005C8B">
            <w:pPr>
              <w:bidi w:val="0"/>
              <w:jc w:val="center"/>
              <w:rPr>
                <w:rFonts w:ascii="Arial" w:hAnsi="Arial"/>
                <w:b/>
                <w:bCs/>
                <w:noProof w:val="0"/>
                <w:sz w:val="28"/>
                <w:szCs w:val="28"/>
                <w:u w:val="single"/>
              </w:rPr>
            </w:pPr>
            <w:r w:rsidRPr="00116BDC">
              <w:rPr>
                <w:rFonts w:ascii="Arial" w:hAnsi="Arial"/>
                <w:b/>
                <w:bCs/>
                <w:noProof w:val="0"/>
                <w:sz w:val="28"/>
                <w:szCs w:val="28"/>
                <w:u w:val="single"/>
                <w:rtl/>
              </w:rPr>
              <w:t>פסק דין</w:t>
            </w:r>
          </w:p>
          <w:p w:rsidR="00F12B2B" w:rsidRPr="00116BDC" w:rsidRDefault="00F12B2B" w:rsidP="00F12B2B">
            <w:pPr>
              <w:bidi w:val="0"/>
              <w:jc w:val="center"/>
              <w:rPr>
                <w:rFonts w:ascii="Arial" w:hAnsi="Arial"/>
                <w:b/>
                <w:bCs/>
                <w:noProof w:val="0"/>
                <w:sz w:val="28"/>
                <w:szCs w:val="28"/>
                <w:u w:val="single"/>
              </w:rPr>
            </w:pPr>
          </w:p>
        </w:tc>
      </w:tr>
    </w:tbl>
    <w:p w:rsidR="00F12B2B" w:rsidRPr="00116BDC" w:rsidRDefault="00F12B2B" w:rsidP="00F12B2B">
      <w:pPr>
        <w:tabs>
          <w:tab w:val="left" w:pos="567"/>
        </w:tabs>
        <w:spacing w:line="360" w:lineRule="auto"/>
        <w:ind w:left="567" w:hanging="567"/>
        <w:jc w:val="both"/>
        <w:rPr>
          <w:rFonts w:ascii="David" w:hAnsi="David"/>
          <w:rtl/>
        </w:rPr>
      </w:pPr>
      <w:r w:rsidRPr="00116BDC">
        <w:rPr>
          <w:rFonts w:ascii="David" w:hAnsi="David"/>
          <w:rtl/>
        </w:rPr>
        <w:t>פסק דין זה כרוך אחר עתירת התובעת לחיוב הנתבע במזונותיהם של הקטינים שבכותרת.</w:t>
      </w:r>
    </w:p>
    <w:p w:rsidR="00F12B2B" w:rsidRPr="00116BDC" w:rsidRDefault="00F12B2B" w:rsidP="00F12B2B">
      <w:pPr>
        <w:tabs>
          <w:tab w:val="left" w:pos="567"/>
        </w:tabs>
        <w:spacing w:line="360" w:lineRule="auto"/>
        <w:ind w:left="567" w:hanging="567"/>
        <w:jc w:val="both"/>
        <w:rPr>
          <w:rFonts w:ascii="David" w:hAnsi="David"/>
          <w:rtl/>
        </w:rPr>
      </w:pPr>
    </w:p>
    <w:p w:rsidR="00F12B2B" w:rsidRPr="00116BDC" w:rsidRDefault="00F12B2B" w:rsidP="00F12B2B">
      <w:pPr>
        <w:tabs>
          <w:tab w:val="left" w:pos="567"/>
        </w:tabs>
        <w:spacing w:line="360" w:lineRule="auto"/>
        <w:ind w:left="567" w:hanging="567"/>
        <w:jc w:val="both"/>
        <w:rPr>
          <w:rFonts w:ascii="David" w:hAnsi="David"/>
          <w:b/>
          <w:bCs/>
          <w:u w:val="single"/>
          <w:rtl/>
        </w:rPr>
      </w:pPr>
      <w:r w:rsidRPr="00116BDC">
        <w:rPr>
          <w:rFonts w:ascii="David" w:hAnsi="David"/>
          <w:b/>
          <w:bCs/>
          <w:u w:val="single"/>
          <w:rtl/>
        </w:rPr>
        <w:t>רקע כללי ודיוני</w:t>
      </w:r>
    </w:p>
    <w:p w:rsidR="00F12B2B" w:rsidRPr="00116BDC" w:rsidRDefault="00F12B2B" w:rsidP="00F12B2B">
      <w:pPr>
        <w:tabs>
          <w:tab w:val="left" w:pos="567"/>
        </w:tabs>
        <w:spacing w:line="360" w:lineRule="auto"/>
        <w:ind w:left="567" w:hanging="567"/>
        <w:jc w:val="both"/>
        <w:rPr>
          <w:rFonts w:ascii="David" w:hAnsi="David"/>
          <w:b/>
          <w:bCs/>
          <w:u w:val="single"/>
          <w:rtl/>
        </w:rPr>
      </w:pPr>
    </w:p>
    <w:p w:rsidR="00F12B2B" w:rsidRPr="00116BDC" w:rsidRDefault="00F12B2B" w:rsidP="00F12B2B">
      <w:pPr>
        <w:pStyle w:val="af"/>
        <w:numPr>
          <w:ilvl w:val="0"/>
          <w:numId w:val="1"/>
        </w:numPr>
        <w:tabs>
          <w:tab w:val="left" w:pos="567"/>
        </w:tabs>
        <w:spacing w:after="0" w:line="360" w:lineRule="auto"/>
        <w:ind w:left="567" w:hanging="567"/>
        <w:jc w:val="both"/>
        <w:rPr>
          <w:rFonts w:ascii="David" w:hAnsi="David" w:cs="David"/>
          <w:sz w:val="24"/>
          <w:szCs w:val="24"/>
          <w:rtl/>
        </w:rPr>
      </w:pPr>
      <w:r w:rsidRPr="00116BDC">
        <w:rPr>
          <w:rFonts w:ascii="David" w:hAnsi="David" w:cs="David"/>
          <w:sz w:val="24"/>
          <w:szCs w:val="24"/>
          <w:rtl/>
        </w:rPr>
        <w:t xml:space="preserve">הצדדים יהודים, נישאו זל"ז כדמו"י ביום 28.7.2011 והתגרשו זמ"ז ביום 21.4.2021. </w:t>
      </w:r>
    </w:p>
    <w:p w:rsidR="00F12B2B" w:rsidRPr="00116BDC" w:rsidRDefault="00F12B2B" w:rsidP="00F12B2B">
      <w:pPr>
        <w:pStyle w:val="af"/>
        <w:tabs>
          <w:tab w:val="left" w:pos="567"/>
        </w:tabs>
        <w:spacing w:after="0" w:line="360" w:lineRule="auto"/>
        <w:ind w:left="567" w:hanging="567"/>
        <w:jc w:val="both"/>
        <w:rPr>
          <w:rFonts w:ascii="David" w:hAnsi="David" w:cs="David"/>
          <w:sz w:val="24"/>
          <w:szCs w:val="24"/>
        </w:rPr>
      </w:pPr>
    </w:p>
    <w:p w:rsidR="00F12B2B" w:rsidRPr="00E731CA" w:rsidRDefault="00F12B2B" w:rsidP="00E731CA">
      <w:pPr>
        <w:pStyle w:val="af"/>
        <w:numPr>
          <w:ilvl w:val="0"/>
          <w:numId w:val="1"/>
        </w:numPr>
        <w:tabs>
          <w:tab w:val="left" w:pos="567"/>
        </w:tabs>
        <w:spacing w:after="0" w:line="360" w:lineRule="auto"/>
        <w:ind w:left="567" w:hanging="567"/>
        <w:jc w:val="both"/>
        <w:rPr>
          <w:rFonts w:ascii="David" w:hAnsi="David" w:cs="David"/>
          <w:sz w:val="24"/>
          <w:szCs w:val="24"/>
        </w:rPr>
      </w:pPr>
      <w:r w:rsidRPr="00E731CA">
        <w:rPr>
          <w:rFonts w:ascii="David" w:hAnsi="David" w:cs="David"/>
          <w:sz w:val="24"/>
          <w:szCs w:val="24"/>
          <w:rtl/>
        </w:rPr>
        <w:t xml:space="preserve">לצדדים ארבעה ילדים משותפים נושא התובענה: </w:t>
      </w:r>
      <w:r w:rsidR="00E731CA" w:rsidRPr="00E731CA">
        <w:rPr>
          <w:rFonts w:ascii="David" w:hAnsi="David" w:cs="David" w:hint="cs"/>
          <w:sz w:val="24"/>
          <w:szCs w:val="24"/>
          <w:rtl/>
        </w:rPr>
        <w:t>ע'</w:t>
      </w:r>
      <w:r w:rsidRPr="00E731CA">
        <w:rPr>
          <w:rFonts w:ascii="David" w:hAnsi="David" w:cs="David"/>
          <w:sz w:val="24"/>
          <w:szCs w:val="24"/>
          <w:rtl/>
        </w:rPr>
        <w:t xml:space="preserve">, יליד </w:t>
      </w:r>
      <w:r w:rsidR="00E731CA" w:rsidRPr="00E731CA">
        <w:rPr>
          <w:rFonts w:ascii="David" w:hAnsi="David" w:cs="David" w:hint="cs"/>
          <w:sz w:val="24"/>
          <w:szCs w:val="24"/>
          <w:rtl/>
        </w:rPr>
        <w:t>2012</w:t>
      </w:r>
      <w:r w:rsidR="00E731CA" w:rsidRPr="00E731CA">
        <w:rPr>
          <w:rFonts w:ascii="David" w:hAnsi="David" w:cs="David"/>
          <w:sz w:val="24"/>
          <w:szCs w:val="24"/>
          <w:rtl/>
        </w:rPr>
        <w:t xml:space="preserve"> (כבן 11 ושלושה חודשים כיום); א</w:t>
      </w:r>
      <w:r w:rsidR="00E731CA" w:rsidRPr="00E731CA">
        <w:rPr>
          <w:rFonts w:ascii="David" w:hAnsi="David" w:cs="David" w:hint="cs"/>
          <w:sz w:val="24"/>
          <w:szCs w:val="24"/>
          <w:rtl/>
        </w:rPr>
        <w:t>'</w:t>
      </w:r>
      <w:r w:rsidRPr="00E731CA">
        <w:rPr>
          <w:rFonts w:ascii="David" w:hAnsi="David" w:cs="David"/>
          <w:sz w:val="24"/>
          <w:szCs w:val="24"/>
          <w:rtl/>
        </w:rPr>
        <w:t xml:space="preserve">, ילידת 2015 (כבת 8 ו-10 חודשים כיום); </w:t>
      </w:r>
      <w:r w:rsidR="00731B20">
        <w:rPr>
          <w:rFonts w:ascii="David" w:hAnsi="David" w:cs="David"/>
          <w:sz w:val="24"/>
          <w:szCs w:val="24"/>
          <w:rtl/>
        </w:rPr>
        <w:t>נ'</w:t>
      </w:r>
      <w:r w:rsidRPr="00E731CA">
        <w:rPr>
          <w:rFonts w:ascii="David" w:hAnsi="David" w:cs="David"/>
          <w:sz w:val="24"/>
          <w:szCs w:val="24"/>
          <w:rtl/>
        </w:rPr>
        <w:t xml:space="preserve">, יליד 2018 (בן 6 </w:t>
      </w:r>
      <w:r w:rsidRPr="00E731CA">
        <w:rPr>
          <w:rFonts w:ascii="David" w:hAnsi="David" w:cs="David" w:hint="cs"/>
          <w:sz w:val="24"/>
          <w:szCs w:val="24"/>
          <w:rtl/>
        </w:rPr>
        <w:t xml:space="preserve">וחודש </w:t>
      </w:r>
      <w:r w:rsidRPr="00E731CA">
        <w:rPr>
          <w:rFonts w:ascii="David" w:hAnsi="David" w:cs="David"/>
          <w:sz w:val="24"/>
          <w:szCs w:val="24"/>
          <w:rtl/>
        </w:rPr>
        <w:t>כיום) וי</w:t>
      </w:r>
      <w:r w:rsidR="00E731CA" w:rsidRPr="00E731CA">
        <w:rPr>
          <w:rFonts w:ascii="David" w:hAnsi="David" w:cs="David" w:hint="cs"/>
          <w:sz w:val="24"/>
          <w:szCs w:val="24"/>
          <w:rtl/>
        </w:rPr>
        <w:t>'</w:t>
      </w:r>
      <w:r w:rsidRPr="00E731CA">
        <w:rPr>
          <w:rFonts w:ascii="David" w:hAnsi="David" w:cs="David"/>
          <w:sz w:val="24"/>
          <w:szCs w:val="24"/>
          <w:rtl/>
        </w:rPr>
        <w:t>, יליד 2020 (בן 4 כיום).</w:t>
      </w:r>
    </w:p>
    <w:p w:rsidR="00F12B2B" w:rsidRPr="00E731CA" w:rsidRDefault="00F12B2B" w:rsidP="00F12B2B">
      <w:pPr>
        <w:tabs>
          <w:tab w:val="left" w:pos="567"/>
        </w:tabs>
        <w:spacing w:line="360" w:lineRule="auto"/>
        <w:jc w:val="both"/>
        <w:rPr>
          <w:rFonts w:ascii="David" w:hAnsi="David"/>
          <w:color w:val="FF0000"/>
        </w:rPr>
      </w:pPr>
    </w:p>
    <w:p w:rsidR="00F12B2B" w:rsidRPr="00E731CA" w:rsidRDefault="00F12B2B" w:rsidP="00731B20">
      <w:pPr>
        <w:pStyle w:val="af"/>
        <w:numPr>
          <w:ilvl w:val="0"/>
          <w:numId w:val="1"/>
        </w:numPr>
        <w:tabs>
          <w:tab w:val="left" w:pos="567"/>
        </w:tabs>
        <w:spacing w:after="0" w:line="360" w:lineRule="auto"/>
        <w:ind w:left="567" w:hanging="567"/>
        <w:jc w:val="both"/>
        <w:rPr>
          <w:rFonts w:ascii="David" w:hAnsi="David" w:cs="David"/>
          <w:sz w:val="24"/>
          <w:szCs w:val="24"/>
        </w:rPr>
      </w:pPr>
      <w:r w:rsidRPr="00E731CA">
        <w:rPr>
          <w:rFonts w:ascii="David" w:hAnsi="David" w:cs="David"/>
          <w:sz w:val="24"/>
          <w:szCs w:val="24"/>
          <w:rtl/>
        </w:rPr>
        <w:t>התובעת (אשר תיקרא להלן גם</w:t>
      </w:r>
      <w:r w:rsidRPr="00E731CA">
        <w:rPr>
          <w:rFonts w:ascii="David" w:hAnsi="David" w:cs="David" w:hint="cs"/>
          <w:sz w:val="24"/>
          <w:szCs w:val="24"/>
          <w:rtl/>
        </w:rPr>
        <w:t>:</w:t>
      </w:r>
      <w:r w:rsidRPr="00E731CA">
        <w:rPr>
          <w:rFonts w:ascii="David" w:hAnsi="David" w:cs="David"/>
          <w:sz w:val="24"/>
          <w:szCs w:val="24"/>
          <w:rtl/>
        </w:rPr>
        <w:t xml:space="preserve"> "</w:t>
      </w:r>
      <w:r w:rsidRPr="00E731CA">
        <w:rPr>
          <w:rFonts w:ascii="David" w:hAnsi="David" w:cs="David"/>
          <w:b/>
          <w:bCs/>
          <w:sz w:val="24"/>
          <w:szCs w:val="24"/>
          <w:rtl/>
        </w:rPr>
        <w:t>האם</w:t>
      </w:r>
      <w:r w:rsidRPr="00E731CA">
        <w:rPr>
          <w:rFonts w:ascii="David" w:hAnsi="David" w:cs="David"/>
          <w:sz w:val="24"/>
          <w:szCs w:val="24"/>
          <w:rtl/>
        </w:rPr>
        <w:t>") עובדת כאחות מוסמכת</w:t>
      </w:r>
      <w:r w:rsidR="00E731CA" w:rsidRPr="00E731CA">
        <w:rPr>
          <w:rFonts w:ascii="David" w:hAnsi="David" w:cs="David" w:hint="cs"/>
          <w:sz w:val="24"/>
          <w:szCs w:val="24"/>
          <w:rtl/>
        </w:rPr>
        <w:t xml:space="preserve"> ב-***</w:t>
      </w:r>
      <w:r w:rsidRPr="00E731CA">
        <w:rPr>
          <w:rFonts w:ascii="David" w:hAnsi="David" w:cs="David"/>
          <w:sz w:val="24"/>
          <w:szCs w:val="24"/>
          <w:rtl/>
        </w:rPr>
        <w:t xml:space="preserve"> והנתבע (אשר יקרא להלן גם</w:t>
      </w:r>
      <w:r w:rsidRPr="00E731CA">
        <w:rPr>
          <w:rFonts w:ascii="David" w:hAnsi="David" w:cs="David" w:hint="cs"/>
          <w:sz w:val="24"/>
          <w:szCs w:val="24"/>
          <w:rtl/>
        </w:rPr>
        <w:t>:</w:t>
      </w:r>
      <w:r w:rsidRPr="00E731CA">
        <w:rPr>
          <w:rFonts w:ascii="David" w:hAnsi="David" w:cs="David"/>
          <w:sz w:val="24"/>
          <w:szCs w:val="24"/>
          <w:rtl/>
        </w:rPr>
        <w:t xml:space="preserve"> "</w:t>
      </w:r>
      <w:r w:rsidRPr="00E731CA">
        <w:rPr>
          <w:rFonts w:ascii="David" w:hAnsi="David" w:cs="David"/>
          <w:b/>
          <w:bCs/>
          <w:sz w:val="24"/>
          <w:szCs w:val="24"/>
          <w:rtl/>
        </w:rPr>
        <w:t>האב</w:t>
      </w:r>
      <w:r w:rsidR="00E731CA" w:rsidRPr="00E731CA">
        <w:rPr>
          <w:rFonts w:ascii="David" w:hAnsi="David" w:cs="David"/>
          <w:sz w:val="24"/>
          <w:szCs w:val="24"/>
          <w:rtl/>
        </w:rPr>
        <w:t>") עובד במפעל</w:t>
      </w:r>
      <w:r w:rsidR="00E731CA" w:rsidRPr="00E731CA">
        <w:rPr>
          <w:rFonts w:ascii="David" w:hAnsi="David" w:cs="David" w:hint="cs"/>
          <w:sz w:val="24"/>
          <w:szCs w:val="24"/>
          <w:rtl/>
        </w:rPr>
        <w:t xml:space="preserve"> ***</w:t>
      </w:r>
      <w:r w:rsidR="00E731CA">
        <w:rPr>
          <w:rFonts w:ascii="David" w:hAnsi="David" w:cs="David" w:hint="cs"/>
          <w:sz w:val="24"/>
          <w:szCs w:val="24"/>
          <w:rtl/>
        </w:rPr>
        <w:t>.</w:t>
      </w:r>
    </w:p>
    <w:p w:rsidR="00F12B2B" w:rsidRPr="00116BDC" w:rsidRDefault="00F12B2B" w:rsidP="00F12B2B">
      <w:pPr>
        <w:tabs>
          <w:tab w:val="left" w:pos="567"/>
        </w:tabs>
        <w:spacing w:line="360" w:lineRule="auto"/>
        <w:ind w:left="567" w:hanging="567"/>
        <w:jc w:val="both"/>
        <w:rPr>
          <w:rFonts w:ascii="David" w:hAnsi="David"/>
        </w:rPr>
      </w:pPr>
    </w:p>
    <w:p w:rsidR="00F12B2B" w:rsidRPr="00116BDC" w:rsidRDefault="00F12B2B" w:rsidP="00F12B2B">
      <w:pPr>
        <w:pStyle w:val="af"/>
        <w:numPr>
          <w:ilvl w:val="0"/>
          <w:numId w:val="1"/>
        </w:numPr>
        <w:tabs>
          <w:tab w:val="left" w:pos="567"/>
        </w:tabs>
        <w:spacing w:after="0" w:line="360" w:lineRule="auto"/>
        <w:ind w:left="567" w:hanging="567"/>
        <w:jc w:val="both"/>
        <w:rPr>
          <w:rFonts w:ascii="David" w:hAnsi="David" w:cs="David"/>
          <w:sz w:val="24"/>
          <w:szCs w:val="24"/>
        </w:rPr>
      </w:pPr>
      <w:r w:rsidRPr="00116BDC">
        <w:rPr>
          <w:rFonts w:ascii="David" w:hAnsi="David" w:cs="David"/>
          <w:sz w:val="24"/>
          <w:szCs w:val="24"/>
          <w:rtl/>
        </w:rPr>
        <w:t xml:space="preserve">הצדדים מתגוררים בנפרד בבאר שבע. לעת הזו, האם מתגוררת עם הקטינים בדירה המשותפת של הצדדים שנמכרה בהליכי כינוס לצד שלישי. אשר למקום מגורי האב - הצדדים חלוקים: לגרסת האם, האב מתגורר בבית אימו ואילו לגרסת האב, הוא מתגורר בדירה  שירש עם אחיו ונושא בדמי שכירות בגין מגוריו בדירה. </w:t>
      </w:r>
    </w:p>
    <w:p w:rsidR="00F12B2B" w:rsidRPr="00116BDC" w:rsidRDefault="00F12B2B" w:rsidP="00F12B2B">
      <w:pPr>
        <w:tabs>
          <w:tab w:val="left" w:pos="567"/>
        </w:tabs>
        <w:spacing w:line="360" w:lineRule="auto"/>
        <w:ind w:left="567" w:hanging="567"/>
        <w:jc w:val="both"/>
        <w:rPr>
          <w:rFonts w:ascii="David" w:hAnsi="David"/>
        </w:rPr>
      </w:pPr>
    </w:p>
    <w:p w:rsidR="00F12B2B" w:rsidRPr="00116BDC" w:rsidRDefault="00F12B2B" w:rsidP="00F12B2B">
      <w:pPr>
        <w:pStyle w:val="af"/>
        <w:numPr>
          <w:ilvl w:val="0"/>
          <w:numId w:val="1"/>
        </w:numPr>
        <w:tabs>
          <w:tab w:val="left" w:pos="567"/>
        </w:tabs>
        <w:spacing w:after="0" w:line="360" w:lineRule="auto"/>
        <w:ind w:left="567" w:hanging="567"/>
        <w:jc w:val="both"/>
        <w:rPr>
          <w:rFonts w:ascii="David" w:hAnsi="David" w:cs="David"/>
          <w:sz w:val="24"/>
          <w:szCs w:val="24"/>
        </w:rPr>
      </w:pPr>
      <w:r w:rsidRPr="00116BDC">
        <w:rPr>
          <w:rFonts w:ascii="David" w:hAnsi="David" w:cs="David"/>
          <w:sz w:val="24"/>
          <w:szCs w:val="24"/>
          <w:rtl/>
        </w:rPr>
        <w:lastRenderedPageBreak/>
        <w:t xml:space="preserve">התובענה דכאן הועברה לטיפולי ביום 21.3.2022 עקב שינויים ארגוניים בבתי המשפט במחוז דרום ובהנחיית כב' הנשיא דאז, השופט אלון גביזון. </w:t>
      </w:r>
    </w:p>
    <w:p w:rsidR="00F12B2B" w:rsidRPr="00116BDC" w:rsidRDefault="00F12B2B" w:rsidP="00F12B2B">
      <w:pPr>
        <w:pStyle w:val="af"/>
        <w:tabs>
          <w:tab w:val="left" w:pos="567"/>
        </w:tabs>
        <w:spacing w:line="360" w:lineRule="auto"/>
        <w:ind w:left="567" w:hanging="567"/>
        <w:rPr>
          <w:rFonts w:ascii="David" w:hAnsi="David" w:cs="David"/>
          <w:sz w:val="24"/>
          <w:szCs w:val="24"/>
        </w:rPr>
      </w:pPr>
    </w:p>
    <w:p w:rsidR="00F12B2B" w:rsidRPr="00116BDC" w:rsidRDefault="00F12B2B" w:rsidP="00F12B2B">
      <w:pPr>
        <w:pStyle w:val="af"/>
        <w:numPr>
          <w:ilvl w:val="0"/>
          <w:numId w:val="1"/>
        </w:numPr>
        <w:tabs>
          <w:tab w:val="left" w:pos="567"/>
        </w:tabs>
        <w:spacing w:after="0" w:line="360" w:lineRule="auto"/>
        <w:ind w:left="567" w:hanging="567"/>
        <w:jc w:val="both"/>
        <w:rPr>
          <w:rFonts w:ascii="David" w:hAnsi="David" w:cs="David"/>
          <w:sz w:val="24"/>
          <w:szCs w:val="24"/>
          <w:rtl/>
        </w:rPr>
      </w:pPr>
      <w:r w:rsidRPr="00116BDC">
        <w:rPr>
          <w:rFonts w:ascii="David" w:hAnsi="David" w:cs="David"/>
          <w:sz w:val="24"/>
          <w:szCs w:val="24"/>
          <w:rtl/>
        </w:rPr>
        <w:t xml:space="preserve">בין הצדדים התנהלו הליכים קודמים מתחום האחריות ההורית (תלה"מ 5092-03-21) ומתחום הרכוש (תלה"מ 47673-03-21) שהגיעו לסיומם. </w:t>
      </w:r>
    </w:p>
    <w:p w:rsidR="00F12B2B" w:rsidRPr="00116BDC" w:rsidRDefault="00F12B2B" w:rsidP="00F12B2B">
      <w:pPr>
        <w:pStyle w:val="af"/>
        <w:tabs>
          <w:tab w:val="left" w:pos="567"/>
        </w:tabs>
        <w:spacing w:line="360" w:lineRule="auto"/>
        <w:ind w:left="567" w:hanging="567"/>
        <w:rPr>
          <w:rFonts w:ascii="David" w:hAnsi="David" w:cs="David"/>
          <w:sz w:val="24"/>
          <w:szCs w:val="24"/>
        </w:rPr>
      </w:pPr>
    </w:p>
    <w:p w:rsidR="00F12B2B" w:rsidRPr="00116BDC" w:rsidRDefault="00F12B2B" w:rsidP="00E731CA">
      <w:pPr>
        <w:pStyle w:val="af"/>
        <w:numPr>
          <w:ilvl w:val="0"/>
          <w:numId w:val="1"/>
        </w:numPr>
        <w:tabs>
          <w:tab w:val="left" w:pos="567"/>
        </w:tabs>
        <w:spacing w:after="0" w:line="360" w:lineRule="auto"/>
        <w:ind w:left="567" w:hanging="567"/>
        <w:jc w:val="both"/>
        <w:rPr>
          <w:rFonts w:ascii="David" w:hAnsi="David" w:cs="David"/>
          <w:sz w:val="24"/>
          <w:szCs w:val="24"/>
          <w:rtl/>
        </w:rPr>
      </w:pPr>
      <w:r w:rsidRPr="00116BDC">
        <w:rPr>
          <w:rFonts w:ascii="David" w:hAnsi="David" w:cs="David"/>
          <w:sz w:val="24"/>
          <w:szCs w:val="24"/>
          <w:rtl/>
        </w:rPr>
        <w:t>בכתב התביעה עתרה האם לחיוב האב במזונות הקטינים בסכום יסודי של 2,200 ₪ לחודש עבור כל אחד מהקטינים ע</w:t>
      </w:r>
      <w:r w:rsidR="00E731CA">
        <w:rPr>
          <w:rFonts w:ascii="David" w:hAnsi="David" w:cs="David" w:hint="cs"/>
          <w:sz w:val="24"/>
          <w:szCs w:val="24"/>
          <w:rtl/>
        </w:rPr>
        <w:t>'</w:t>
      </w:r>
      <w:r w:rsidRPr="00116BDC">
        <w:rPr>
          <w:rFonts w:ascii="David" w:hAnsi="David" w:cs="David"/>
          <w:sz w:val="24"/>
          <w:szCs w:val="24"/>
          <w:rtl/>
        </w:rPr>
        <w:t xml:space="preserve"> ו</w:t>
      </w:r>
      <w:r w:rsidR="00E731CA">
        <w:rPr>
          <w:rFonts w:ascii="David" w:hAnsi="David" w:cs="David" w:hint="cs"/>
          <w:sz w:val="24"/>
          <w:szCs w:val="24"/>
          <w:rtl/>
        </w:rPr>
        <w:t>-</w:t>
      </w:r>
      <w:r w:rsidRPr="00116BDC">
        <w:rPr>
          <w:rFonts w:ascii="David" w:hAnsi="David" w:cs="David"/>
          <w:sz w:val="24"/>
          <w:szCs w:val="24"/>
          <w:rtl/>
        </w:rPr>
        <w:t>א</w:t>
      </w:r>
      <w:r w:rsidR="00E731CA">
        <w:rPr>
          <w:rFonts w:ascii="David" w:hAnsi="David" w:cs="David" w:hint="cs"/>
          <w:sz w:val="24"/>
          <w:szCs w:val="24"/>
          <w:rtl/>
        </w:rPr>
        <w:t>',</w:t>
      </w:r>
      <w:r w:rsidRPr="00116BDC">
        <w:rPr>
          <w:rFonts w:ascii="David" w:hAnsi="David" w:cs="David"/>
          <w:sz w:val="24"/>
          <w:szCs w:val="24"/>
          <w:rtl/>
        </w:rPr>
        <w:t xml:space="preserve"> </w:t>
      </w:r>
      <w:r w:rsidR="00E731CA">
        <w:rPr>
          <w:rFonts w:ascii="David" w:hAnsi="David" w:cs="David" w:hint="cs"/>
          <w:sz w:val="24"/>
          <w:szCs w:val="24"/>
          <w:rtl/>
        </w:rPr>
        <w:t>ו</w:t>
      </w:r>
      <w:r w:rsidRPr="00116BDC">
        <w:rPr>
          <w:rFonts w:ascii="David" w:hAnsi="David" w:cs="David"/>
          <w:sz w:val="24"/>
          <w:szCs w:val="24"/>
          <w:rtl/>
        </w:rPr>
        <w:t xml:space="preserve">בסכום יסודי של 2,900 ₪ לחודש עבור כל אחד מהקטינים </w:t>
      </w:r>
      <w:r w:rsidR="00731B20">
        <w:rPr>
          <w:rFonts w:ascii="David" w:hAnsi="David" w:cs="David"/>
          <w:sz w:val="24"/>
          <w:szCs w:val="24"/>
          <w:rtl/>
        </w:rPr>
        <w:t>נ'</w:t>
      </w:r>
      <w:r w:rsidRPr="00116BDC">
        <w:rPr>
          <w:rFonts w:ascii="David" w:hAnsi="David" w:cs="David"/>
          <w:sz w:val="24"/>
          <w:szCs w:val="24"/>
          <w:rtl/>
        </w:rPr>
        <w:t xml:space="preserve"> ו</w:t>
      </w:r>
      <w:r w:rsidR="00E731CA">
        <w:rPr>
          <w:rFonts w:ascii="David" w:hAnsi="David" w:cs="David" w:hint="cs"/>
          <w:sz w:val="24"/>
          <w:szCs w:val="24"/>
          <w:rtl/>
        </w:rPr>
        <w:t>-</w:t>
      </w:r>
      <w:r w:rsidRPr="00116BDC">
        <w:rPr>
          <w:rFonts w:ascii="David" w:hAnsi="David" w:cs="David"/>
          <w:sz w:val="24"/>
          <w:szCs w:val="24"/>
          <w:rtl/>
        </w:rPr>
        <w:t>י</w:t>
      </w:r>
      <w:r w:rsidR="00E731CA">
        <w:rPr>
          <w:rFonts w:ascii="David" w:hAnsi="David" w:cs="David" w:hint="cs"/>
          <w:sz w:val="24"/>
          <w:szCs w:val="24"/>
          <w:rtl/>
        </w:rPr>
        <w:t>'</w:t>
      </w:r>
      <w:r w:rsidRPr="00116BDC">
        <w:rPr>
          <w:rFonts w:ascii="David" w:hAnsi="David" w:cs="David"/>
          <w:sz w:val="24"/>
          <w:szCs w:val="24"/>
          <w:rtl/>
        </w:rPr>
        <w:t xml:space="preserve"> הכולל רכיב של מדור. </w:t>
      </w:r>
    </w:p>
    <w:p w:rsidR="00F12B2B" w:rsidRPr="00116BDC" w:rsidRDefault="00F12B2B" w:rsidP="00F12B2B">
      <w:pPr>
        <w:pStyle w:val="af"/>
        <w:tabs>
          <w:tab w:val="left" w:pos="567"/>
        </w:tabs>
        <w:spacing w:after="0" w:line="360" w:lineRule="auto"/>
        <w:ind w:left="567" w:hanging="567"/>
        <w:jc w:val="both"/>
        <w:rPr>
          <w:rFonts w:ascii="David" w:hAnsi="David" w:cs="David"/>
          <w:sz w:val="24"/>
          <w:szCs w:val="24"/>
        </w:rPr>
      </w:pPr>
    </w:p>
    <w:p w:rsidR="00F12B2B" w:rsidRPr="00116BDC" w:rsidRDefault="00F12B2B" w:rsidP="00F12B2B">
      <w:pPr>
        <w:pStyle w:val="af"/>
        <w:numPr>
          <w:ilvl w:val="0"/>
          <w:numId w:val="1"/>
        </w:numPr>
        <w:tabs>
          <w:tab w:val="left" w:pos="567"/>
        </w:tabs>
        <w:spacing w:after="0" w:line="360" w:lineRule="auto"/>
        <w:ind w:left="567" w:hanging="567"/>
        <w:jc w:val="both"/>
        <w:rPr>
          <w:rFonts w:ascii="David" w:hAnsi="David" w:cs="David"/>
          <w:sz w:val="24"/>
          <w:szCs w:val="24"/>
          <w:rtl/>
        </w:rPr>
      </w:pPr>
      <w:r w:rsidRPr="00116BDC">
        <w:rPr>
          <w:rFonts w:ascii="David" w:hAnsi="David" w:cs="David"/>
          <w:sz w:val="24"/>
          <w:szCs w:val="24"/>
          <w:rtl/>
        </w:rPr>
        <w:t xml:space="preserve">בהחלטה מיום 8.4.2021 (שניתנה ע"י כב' השופט בן שלו) חויב האב לשאת במזונות זמניים של הקטינים בסכום יסודי של 5,700 ₪ לחודש, עת גם באותה העת האם והקטינים התגוררו בדירה המשותפת של הצדדים בטרם נמכרה לצד שלישי, תוך שנקבע, כי כל עוד האב ממשיך לשאת במלוא תשלומי המשכנתא עבור הדירה המשותפת (כ-5,000 ₪ לחודש), בידו לקזז מחצית מתשלומי המשכנתא משיעור המזונות הזמניים שנקבע. לציין, כי החלטה זו ניתנה עת 3 מהקטינים טרם חצו את גיל 6. </w:t>
      </w:r>
    </w:p>
    <w:p w:rsidR="00F12B2B" w:rsidRPr="00116BDC" w:rsidRDefault="00F12B2B" w:rsidP="00F12B2B">
      <w:pPr>
        <w:pStyle w:val="af"/>
        <w:tabs>
          <w:tab w:val="left" w:pos="567"/>
        </w:tabs>
        <w:spacing w:after="0" w:line="360" w:lineRule="auto"/>
        <w:ind w:left="567" w:hanging="567"/>
        <w:jc w:val="both"/>
        <w:rPr>
          <w:rFonts w:ascii="David" w:hAnsi="David" w:cs="David"/>
          <w:sz w:val="24"/>
          <w:szCs w:val="24"/>
        </w:rPr>
      </w:pPr>
    </w:p>
    <w:p w:rsidR="00F12B2B" w:rsidRPr="00116BDC" w:rsidRDefault="00F12B2B" w:rsidP="00F12B2B">
      <w:pPr>
        <w:pStyle w:val="af"/>
        <w:tabs>
          <w:tab w:val="left" w:pos="567"/>
        </w:tabs>
        <w:spacing w:after="0" w:line="360" w:lineRule="auto"/>
        <w:ind w:left="567" w:hanging="567"/>
        <w:jc w:val="both"/>
        <w:rPr>
          <w:rFonts w:ascii="David" w:hAnsi="David" w:cs="David"/>
          <w:sz w:val="24"/>
          <w:szCs w:val="24"/>
          <w:rtl/>
        </w:rPr>
      </w:pPr>
      <w:r w:rsidRPr="00116BDC">
        <w:rPr>
          <w:rFonts w:ascii="David" w:hAnsi="David" w:cs="David"/>
          <w:sz w:val="24"/>
          <w:szCs w:val="24"/>
          <w:rtl/>
        </w:rPr>
        <w:tab/>
        <w:t xml:space="preserve">יצוין, כי בהחלטה נוספת מיום 19.1.2022 נדחתה בקשת האב להפחתת שיעור המזונות הזמניים שנותר על כנו. </w:t>
      </w:r>
    </w:p>
    <w:p w:rsidR="00F12B2B" w:rsidRPr="00116BDC" w:rsidRDefault="00F12B2B" w:rsidP="00F12B2B">
      <w:pPr>
        <w:tabs>
          <w:tab w:val="left" w:pos="567"/>
        </w:tabs>
        <w:spacing w:line="360" w:lineRule="auto"/>
        <w:ind w:left="567" w:hanging="567"/>
        <w:jc w:val="both"/>
        <w:rPr>
          <w:rFonts w:ascii="David" w:hAnsi="David"/>
        </w:rPr>
      </w:pPr>
    </w:p>
    <w:p w:rsidR="00F12B2B" w:rsidRPr="00116BDC" w:rsidRDefault="00F12B2B" w:rsidP="00F12B2B">
      <w:pPr>
        <w:pStyle w:val="af"/>
        <w:numPr>
          <w:ilvl w:val="0"/>
          <w:numId w:val="1"/>
        </w:numPr>
        <w:tabs>
          <w:tab w:val="left" w:pos="567"/>
        </w:tabs>
        <w:spacing w:after="0" w:line="360" w:lineRule="auto"/>
        <w:ind w:left="567" w:hanging="567"/>
        <w:jc w:val="both"/>
        <w:rPr>
          <w:rFonts w:ascii="David" w:hAnsi="David" w:cs="David"/>
          <w:sz w:val="24"/>
          <w:szCs w:val="24"/>
        </w:rPr>
      </w:pPr>
      <w:r w:rsidRPr="00116BDC">
        <w:rPr>
          <w:rFonts w:ascii="David" w:hAnsi="David" w:cs="David"/>
          <w:sz w:val="24"/>
          <w:szCs w:val="24"/>
          <w:rtl/>
        </w:rPr>
        <w:t xml:space="preserve">משהצדדים לא הגיעו לכלל הבנות, הוגשו תצהירי עדות ראשית של בעלי הדין ונשמעו ראיות בדיון שהתקיים ביום 22.11.2022. בדיון נחקרו בעלי הדין בלבד. </w:t>
      </w:r>
    </w:p>
    <w:p w:rsidR="00F12B2B" w:rsidRPr="00116BDC" w:rsidRDefault="00F12B2B" w:rsidP="00F12B2B">
      <w:pPr>
        <w:pStyle w:val="af"/>
        <w:tabs>
          <w:tab w:val="left" w:pos="567"/>
        </w:tabs>
        <w:spacing w:after="0" w:line="360" w:lineRule="auto"/>
        <w:ind w:left="567"/>
        <w:jc w:val="both"/>
        <w:rPr>
          <w:rFonts w:ascii="David" w:hAnsi="David" w:cs="David"/>
          <w:sz w:val="24"/>
          <w:szCs w:val="24"/>
        </w:rPr>
      </w:pPr>
    </w:p>
    <w:p w:rsidR="00F12B2B" w:rsidRPr="00116BDC" w:rsidRDefault="00F12B2B" w:rsidP="00F12B2B">
      <w:pPr>
        <w:pStyle w:val="af"/>
        <w:tabs>
          <w:tab w:val="left" w:pos="567"/>
        </w:tabs>
        <w:spacing w:after="0" w:line="360" w:lineRule="auto"/>
        <w:ind w:left="567"/>
        <w:jc w:val="both"/>
        <w:rPr>
          <w:rFonts w:ascii="David" w:hAnsi="David" w:cs="David"/>
          <w:sz w:val="24"/>
          <w:szCs w:val="24"/>
          <w:rtl/>
        </w:rPr>
      </w:pPr>
      <w:r w:rsidRPr="00116BDC">
        <w:rPr>
          <w:rFonts w:ascii="David" w:hAnsi="David" w:cs="David"/>
          <w:sz w:val="24"/>
          <w:szCs w:val="24"/>
          <w:rtl/>
        </w:rPr>
        <w:t xml:space="preserve">הואיל והצדדים עתרו לשמיעת ראיות גם בתובענה דלעיל שמתחום האחריות ההורית, היה מקום להמתין עד לסיומו של ההליך המקביל. שם, ניתן תוקף של פסק דין להסכמות אליהן הגיעו הצדדים, בסופו של יום ואילו ההליך דכאן, נותר להכרעה.  </w:t>
      </w:r>
    </w:p>
    <w:p w:rsidR="00F12B2B" w:rsidRPr="00116BDC" w:rsidRDefault="00F12B2B" w:rsidP="00F12B2B">
      <w:pPr>
        <w:pStyle w:val="af"/>
        <w:tabs>
          <w:tab w:val="left" w:pos="567"/>
        </w:tabs>
        <w:spacing w:after="0" w:line="360" w:lineRule="auto"/>
        <w:ind w:left="567"/>
        <w:jc w:val="both"/>
        <w:rPr>
          <w:rFonts w:ascii="David" w:hAnsi="David" w:cs="David"/>
          <w:sz w:val="24"/>
          <w:szCs w:val="24"/>
        </w:rPr>
      </w:pPr>
    </w:p>
    <w:p w:rsidR="00F12B2B" w:rsidRPr="00116BDC" w:rsidRDefault="00F12B2B" w:rsidP="00F12B2B">
      <w:pPr>
        <w:pStyle w:val="af"/>
        <w:tabs>
          <w:tab w:val="left" w:pos="567"/>
        </w:tabs>
        <w:spacing w:after="0" w:line="360" w:lineRule="auto"/>
        <w:ind w:left="567"/>
        <w:jc w:val="both"/>
        <w:rPr>
          <w:rFonts w:ascii="David" w:hAnsi="David" w:cs="David"/>
          <w:sz w:val="24"/>
          <w:szCs w:val="24"/>
          <w:rtl/>
        </w:rPr>
      </w:pPr>
      <w:r w:rsidRPr="00116BDC">
        <w:rPr>
          <w:rFonts w:ascii="David" w:hAnsi="David" w:cs="David"/>
          <w:sz w:val="24"/>
          <w:szCs w:val="24"/>
          <w:rtl/>
        </w:rPr>
        <w:t>משהוגשו סיכומי הצדדים בכתב (סיכומי התובעת ביום 27.11.2023 וסיכומי הנתבע ביום 5.12.2023</w:t>
      </w:r>
      <w:r w:rsidR="00961D49" w:rsidRPr="00116BDC">
        <w:rPr>
          <w:rFonts w:ascii="David" w:hAnsi="David" w:cs="David" w:hint="cs"/>
          <w:sz w:val="24"/>
          <w:szCs w:val="24"/>
          <w:rtl/>
        </w:rPr>
        <w:t>)</w:t>
      </w:r>
      <w:r w:rsidRPr="00116BDC">
        <w:rPr>
          <w:rFonts w:ascii="David" w:hAnsi="David" w:cs="David"/>
          <w:sz w:val="24"/>
          <w:szCs w:val="24"/>
          <w:rtl/>
        </w:rPr>
        <w:t xml:space="preserve">, בשלה העת להכריע בתובענה. </w:t>
      </w:r>
    </w:p>
    <w:p w:rsidR="00F12B2B" w:rsidRPr="00116BDC" w:rsidRDefault="00F12B2B" w:rsidP="00F12B2B">
      <w:pPr>
        <w:pStyle w:val="af"/>
        <w:tabs>
          <w:tab w:val="left" w:pos="567"/>
        </w:tabs>
        <w:spacing w:after="0" w:line="360" w:lineRule="auto"/>
        <w:ind w:left="567"/>
        <w:jc w:val="both"/>
        <w:rPr>
          <w:rFonts w:ascii="David" w:hAnsi="David" w:cs="David"/>
          <w:sz w:val="24"/>
          <w:szCs w:val="24"/>
        </w:rPr>
      </w:pPr>
    </w:p>
    <w:p w:rsidR="00F12B2B" w:rsidRPr="00116BDC" w:rsidRDefault="00F12B2B" w:rsidP="00E731CA">
      <w:pPr>
        <w:pStyle w:val="af"/>
        <w:numPr>
          <w:ilvl w:val="0"/>
          <w:numId w:val="1"/>
        </w:numPr>
        <w:tabs>
          <w:tab w:val="left" w:pos="567"/>
        </w:tabs>
        <w:spacing w:after="0" w:line="360" w:lineRule="auto"/>
        <w:ind w:left="567" w:hanging="567"/>
        <w:jc w:val="both"/>
        <w:rPr>
          <w:rFonts w:ascii="David" w:hAnsi="David" w:cs="David"/>
          <w:sz w:val="24"/>
          <w:szCs w:val="24"/>
        </w:rPr>
      </w:pPr>
      <w:r w:rsidRPr="00116BDC">
        <w:rPr>
          <w:rFonts w:ascii="David" w:hAnsi="David" w:cs="David"/>
          <w:sz w:val="24"/>
          <w:szCs w:val="24"/>
          <w:rtl/>
        </w:rPr>
        <w:t xml:space="preserve">בסיכומיה עתרה </w:t>
      </w:r>
      <w:r w:rsidRPr="00116BDC">
        <w:rPr>
          <w:rFonts w:ascii="David" w:hAnsi="David" w:cs="David"/>
          <w:b/>
          <w:bCs/>
          <w:sz w:val="24"/>
          <w:szCs w:val="24"/>
          <w:rtl/>
        </w:rPr>
        <w:t>האם</w:t>
      </w:r>
      <w:r w:rsidRPr="00116BDC">
        <w:rPr>
          <w:rFonts w:ascii="David" w:hAnsi="David" w:cs="David"/>
          <w:sz w:val="24"/>
          <w:szCs w:val="24"/>
          <w:rtl/>
        </w:rPr>
        <w:t xml:space="preserve"> לחיוב האב במזונות בשיעורים להם עתרה בכתב התביעה וכן לחיובו במזונות לכל הפחות מיום הגשת הבקשה הנוספת ליישוב סכסוך שהוגשה לבית הדין הרבני ביום 24.9.2020. כן עתרה האם לחיוב האב במחצית מחבילת לידה לקטין </w:t>
      </w:r>
      <w:r w:rsidR="00E731CA">
        <w:rPr>
          <w:rFonts w:ascii="David" w:hAnsi="David" w:cs="David" w:hint="cs"/>
          <w:sz w:val="24"/>
          <w:szCs w:val="24"/>
          <w:rtl/>
        </w:rPr>
        <w:t>י'</w:t>
      </w:r>
      <w:r w:rsidRPr="00116BDC">
        <w:rPr>
          <w:rFonts w:ascii="David" w:hAnsi="David" w:cs="David"/>
          <w:sz w:val="24"/>
          <w:szCs w:val="24"/>
          <w:rtl/>
        </w:rPr>
        <w:t xml:space="preserve"> בסך 1,750 </w:t>
      </w:r>
      <w:r w:rsidR="00961D49" w:rsidRPr="00116BDC">
        <w:rPr>
          <w:rFonts w:ascii="David" w:hAnsi="David" w:cs="David" w:hint="cs"/>
          <w:sz w:val="24"/>
          <w:szCs w:val="24"/>
          <w:rtl/>
        </w:rPr>
        <w:t>ש"ח</w:t>
      </w:r>
      <w:r w:rsidRPr="00116BDC">
        <w:rPr>
          <w:rFonts w:ascii="David" w:hAnsi="David" w:cs="David"/>
          <w:sz w:val="24"/>
          <w:szCs w:val="24"/>
          <w:rtl/>
        </w:rPr>
        <w:t>.</w:t>
      </w:r>
    </w:p>
    <w:p w:rsidR="00F12B2B" w:rsidRPr="00E731CA" w:rsidRDefault="00F12B2B" w:rsidP="00F12B2B">
      <w:pPr>
        <w:pStyle w:val="af"/>
        <w:tabs>
          <w:tab w:val="left" w:pos="567"/>
        </w:tabs>
        <w:spacing w:after="0" w:line="360" w:lineRule="auto"/>
        <w:ind w:left="567"/>
        <w:jc w:val="both"/>
        <w:rPr>
          <w:rFonts w:ascii="David" w:hAnsi="David" w:cs="David"/>
          <w:b/>
          <w:bCs/>
          <w:sz w:val="24"/>
          <w:szCs w:val="24"/>
        </w:rPr>
      </w:pPr>
    </w:p>
    <w:p w:rsidR="00F12B2B" w:rsidRPr="00116BDC" w:rsidRDefault="00F12B2B" w:rsidP="00F12B2B">
      <w:pPr>
        <w:pStyle w:val="af"/>
        <w:tabs>
          <w:tab w:val="left" w:pos="567"/>
        </w:tabs>
        <w:spacing w:after="0" w:line="360" w:lineRule="auto"/>
        <w:ind w:left="567"/>
        <w:jc w:val="both"/>
        <w:rPr>
          <w:rFonts w:ascii="David" w:hAnsi="David" w:cs="David"/>
          <w:sz w:val="24"/>
          <w:szCs w:val="24"/>
          <w:rtl/>
        </w:rPr>
      </w:pPr>
      <w:r w:rsidRPr="00116BDC">
        <w:rPr>
          <w:rFonts w:ascii="David" w:hAnsi="David" w:cs="David"/>
          <w:b/>
          <w:bCs/>
          <w:sz w:val="24"/>
          <w:szCs w:val="24"/>
          <w:rtl/>
        </w:rPr>
        <w:t>האב</w:t>
      </w:r>
      <w:r w:rsidRPr="00116BDC">
        <w:rPr>
          <w:rFonts w:ascii="David" w:hAnsi="David" w:cs="David"/>
          <w:sz w:val="24"/>
          <w:szCs w:val="24"/>
          <w:rtl/>
        </w:rPr>
        <w:t xml:space="preserve"> מבקש בסיכומיו להעמיד את שיעור מזונות הקטינים שגילם מתחת ל-6 שנים על סך 675 ₪ וזאת עד הגיעם לגיל 6 ובנוגע לכל קטין מעל גיל 6, יישא כל הורה בצרכי הקטין בעת שהותו </w:t>
      </w:r>
      <w:r w:rsidRPr="00116BDC">
        <w:rPr>
          <w:rFonts w:ascii="David" w:hAnsi="David" w:cs="David"/>
          <w:sz w:val="24"/>
          <w:szCs w:val="24"/>
          <w:rtl/>
        </w:rPr>
        <w:lastRenderedPageBreak/>
        <w:t xml:space="preserve">עימו; לדחיית עתירת האם לחיוב במדור; לחלוקת קצבאות המוסד לביטוח לאומי בחלקים שווים בין הצדדים ולקיזוז של תשלומי מזונות עתידיים מהשיעור שייקבע לכל הפחות מחודש יוני 2023 בשל שיהוי נטען בהגשת סיכומי האם. </w:t>
      </w:r>
    </w:p>
    <w:p w:rsidR="00F12B2B" w:rsidRPr="00116BDC" w:rsidRDefault="00F12B2B" w:rsidP="00F12B2B">
      <w:pPr>
        <w:pStyle w:val="af"/>
        <w:tabs>
          <w:tab w:val="left" w:pos="567"/>
        </w:tabs>
        <w:spacing w:after="0" w:line="360" w:lineRule="auto"/>
        <w:ind w:left="567" w:hanging="567"/>
        <w:jc w:val="both"/>
        <w:rPr>
          <w:rFonts w:ascii="David" w:hAnsi="David" w:cs="David"/>
          <w:sz w:val="24"/>
          <w:szCs w:val="24"/>
          <w:rtl/>
        </w:rPr>
      </w:pPr>
    </w:p>
    <w:p w:rsidR="00F12B2B" w:rsidRPr="00116BDC" w:rsidRDefault="00F12B2B" w:rsidP="00F12B2B">
      <w:pPr>
        <w:tabs>
          <w:tab w:val="left" w:pos="567"/>
        </w:tabs>
        <w:spacing w:line="360" w:lineRule="auto"/>
        <w:ind w:left="567" w:hanging="567"/>
        <w:jc w:val="both"/>
        <w:rPr>
          <w:rFonts w:ascii="David" w:hAnsi="David"/>
          <w:rtl/>
        </w:rPr>
      </w:pPr>
    </w:p>
    <w:p w:rsidR="00F12B2B" w:rsidRPr="00116BDC" w:rsidRDefault="00F12B2B" w:rsidP="00F12B2B">
      <w:pPr>
        <w:tabs>
          <w:tab w:val="left" w:pos="567"/>
        </w:tabs>
        <w:spacing w:line="360" w:lineRule="auto"/>
        <w:ind w:left="567" w:hanging="567"/>
        <w:jc w:val="both"/>
        <w:rPr>
          <w:rFonts w:ascii="David" w:hAnsi="David"/>
          <w:b/>
          <w:bCs/>
          <w:u w:val="single"/>
          <w:rtl/>
        </w:rPr>
      </w:pPr>
      <w:r w:rsidRPr="00116BDC">
        <w:rPr>
          <w:rFonts w:ascii="David" w:hAnsi="David"/>
          <w:b/>
          <w:bCs/>
          <w:u w:val="single"/>
          <w:rtl/>
        </w:rPr>
        <w:t>הדין החל</w:t>
      </w:r>
    </w:p>
    <w:p w:rsidR="00961D49" w:rsidRPr="00116BDC" w:rsidRDefault="00961D49" w:rsidP="00F12B2B">
      <w:pPr>
        <w:tabs>
          <w:tab w:val="left" w:pos="567"/>
        </w:tabs>
        <w:spacing w:line="360" w:lineRule="auto"/>
        <w:ind w:left="567" w:hanging="567"/>
        <w:jc w:val="both"/>
        <w:rPr>
          <w:rFonts w:ascii="David" w:hAnsi="David"/>
          <w:b/>
          <w:bCs/>
          <w:u w:val="single"/>
          <w:rtl/>
        </w:rPr>
      </w:pPr>
    </w:p>
    <w:p w:rsidR="00F12B2B" w:rsidRPr="00116BDC" w:rsidRDefault="00206E45" w:rsidP="00F12B2B">
      <w:pPr>
        <w:pStyle w:val="af"/>
        <w:numPr>
          <w:ilvl w:val="0"/>
          <w:numId w:val="1"/>
        </w:numPr>
        <w:tabs>
          <w:tab w:val="left" w:pos="567"/>
        </w:tabs>
        <w:spacing w:after="0" w:line="360" w:lineRule="auto"/>
        <w:ind w:left="567" w:hanging="567"/>
        <w:jc w:val="both"/>
        <w:rPr>
          <w:rFonts w:ascii="David" w:hAnsi="David" w:cs="David"/>
          <w:sz w:val="24"/>
          <w:szCs w:val="24"/>
          <w:rtl/>
        </w:rPr>
      </w:pPr>
      <w:hyperlink r:id="rId9" w:history="1">
        <w:r w:rsidR="00F12B2B" w:rsidRPr="00116BDC">
          <w:rPr>
            <w:rStyle w:val="Hyperlink"/>
            <w:rFonts w:ascii="David" w:hAnsi="David" w:cs="David"/>
            <w:color w:val="auto"/>
            <w:sz w:val="24"/>
            <w:szCs w:val="24"/>
            <w:u w:val="none"/>
            <w:rtl/>
          </w:rPr>
          <w:t>בסעיף 3(א)</w:t>
        </w:r>
      </w:hyperlink>
      <w:r w:rsidR="00F12B2B" w:rsidRPr="00116BDC">
        <w:rPr>
          <w:rFonts w:ascii="David" w:hAnsi="David" w:cs="David"/>
          <w:sz w:val="24"/>
          <w:szCs w:val="24"/>
          <w:rtl/>
        </w:rPr>
        <w:t xml:space="preserve"> ל</w:t>
      </w:r>
      <w:hyperlink r:id="rId10" w:history="1">
        <w:r w:rsidR="00F12B2B" w:rsidRPr="00116BDC">
          <w:rPr>
            <w:rStyle w:val="Hyperlink"/>
            <w:rFonts w:ascii="David" w:hAnsi="David" w:cs="David"/>
            <w:color w:val="auto"/>
            <w:sz w:val="24"/>
            <w:szCs w:val="24"/>
            <w:u w:val="none"/>
            <w:rtl/>
          </w:rPr>
          <w:t>חוק לתיקון דיני המשפחה (מזונות)</w:t>
        </w:r>
      </w:hyperlink>
      <w:r w:rsidR="00F12B2B" w:rsidRPr="00116BDC">
        <w:rPr>
          <w:rFonts w:ascii="David" w:hAnsi="David" w:cs="David"/>
          <w:sz w:val="24"/>
          <w:szCs w:val="24"/>
          <w:rtl/>
        </w:rPr>
        <w:t xml:space="preserve">, תשי"ט-1959, נקבע שאדם חייב במזונות ילדיו הקטינים לפי הוראות הדין האישי החל עליו. הואיל והצדדים כולם יהודים חל בעניינם הדין העברי. </w:t>
      </w:r>
    </w:p>
    <w:p w:rsidR="00F12B2B" w:rsidRPr="00116BDC" w:rsidRDefault="00F12B2B" w:rsidP="00F12B2B">
      <w:pPr>
        <w:pStyle w:val="af"/>
        <w:tabs>
          <w:tab w:val="left" w:pos="567"/>
        </w:tabs>
        <w:spacing w:after="0" w:line="360" w:lineRule="auto"/>
        <w:ind w:left="567" w:hanging="567"/>
        <w:jc w:val="both"/>
        <w:rPr>
          <w:rFonts w:ascii="David" w:hAnsi="David" w:cs="David"/>
          <w:sz w:val="24"/>
          <w:szCs w:val="24"/>
        </w:rPr>
      </w:pPr>
    </w:p>
    <w:p w:rsidR="00F12B2B" w:rsidRPr="00116BDC" w:rsidRDefault="00F12B2B" w:rsidP="00F12B2B">
      <w:pPr>
        <w:pStyle w:val="10"/>
        <w:numPr>
          <w:ilvl w:val="0"/>
          <w:numId w:val="1"/>
        </w:numPr>
        <w:tabs>
          <w:tab w:val="left" w:pos="567"/>
        </w:tabs>
        <w:spacing w:line="360" w:lineRule="auto"/>
        <w:ind w:left="567" w:hanging="567"/>
        <w:jc w:val="both"/>
        <w:rPr>
          <w:rFonts w:ascii="David" w:hAnsi="David"/>
          <w:noProof w:val="0"/>
        </w:rPr>
      </w:pPr>
      <w:r w:rsidRPr="00116BDC">
        <w:rPr>
          <w:rFonts w:ascii="David" w:hAnsi="David"/>
          <w:noProof w:val="0"/>
          <w:rtl/>
        </w:rPr>
        <w:t xml:space="preserve">אשר למזונותיהם של ילדים מקטני קטנים, דהיינו מתחת לגיל 6 – על-פי הדין החל, מוטלת על האב החובה האבסולוטית לשאת במלוא צרכיהם ההכרחיים. עם זאת, גם טרם הגיעו של קטין לגיל 6, לא ניתן להתעלם מחלוקת זמני השהות בין ההורים, מכך שחלק מצרכיו ההכרחיים של הקטין ממומנים באופן ישיר על ידי האב (ראו: עמ"ש (מחוזי מרכז) 31135-07-20 </w:t>
      </w:r>
      <w:r w:rsidRPr="00116BDC">
        <w:rPr>
          <w:rFonts w:ascii="David" w:hAnsi="David"/>
          <w:b/>
          <w:bCs/>
          <w:noProof w:val="0"/>
          <w:rtl/>
        </w:rPr>
        <w:t>ד.ש. נ' מ.מ.ש.</w:t>
      </w:r>
      <w:r w:rsidRPr="00116BDC">
        <w:rPr>
          <w:rFonts w:ascii="David" w:hAnsi="David"/>
          <w:noProof w:val="0"/>
          <w:rtl/>
        </w:rPr>
        <w:t>).</w:t>
      </w:r>
    </w:p>
    <w:p w:rsidR="00F12B2B" w:rsidRPr="00116BDC" w:rsidRDefault="00F12B2B" w:rsidP="00F12B2B">
      <w:pPr>
        <w:pStyle w:val="10"/>
        <w:tabs>
          <w:tab w:val="left" w:pos="567"/>
        </w:tabs>
        <w:spacing w:line="360" w:lineRule="auto"/>
        <w:ind w:left="567" w:hanging="567"/>
        <w:jc w:val="both"/>
        <w:rPr>
          <w:rFonts w:ascii="David" w:hAnsi="David"/>
          <w:noProof w:val="0"/>
        </w:rPr>
      </w:pPr>
    </w:p>
    <w:p w:rsidR="00F12B2B" w:rsidRPr="00116BDC" w:rsidRDefault="00F12B2B" w:rsidP="00F12B2B">
      <w:pPr>
        <w:pStyle w:val="af"/>
        <w:numPr>
          <w:ilvl w:val="0"/>
          <w:numId w:val="1"/>
        </w:numPr>
        <w:tabs>
          <w:tab w:val="left" w:pos="567"/>
        </w:tabs>
        <w:spacing w:after="0" w:line="360" w:lineRule="auto"/>
        <w:ind w:left="567" w:hanging="567"/>
        <w:jc w:val="both"/>
        <w:rPr>
          <w:rFonts w:ascii="David" w:hAnsi="David" w:cs="David"/>
          <w:sz w:val="24"/>
          <w:szCs w:val="24"/>
        </w:rPr>
      </w:pPr>
      <w:r w:rsidRPr="00116BDC">
        <w:rPr>
          <w:rFonts w:ascii="David" w:eastAsia="Times New Roman" w:hAnsi="David" w:cs="David"/>
          <w:sz w:val="24"/>
          <w:szCs w:val="24"/>
          <w:rtl/>
        </w:rPr>
        <w:t xml:space="preserve">אשר לילדים מעל גיל שש שנים - נקבעה בבע"מ 919/15 </w:t>
      </w:r>
      <w:r w:rsidRPr="00116BDC">
        <w:rPr>
          <w:rFonts w:ascii="David" w:eastAsia="Times New Roman" w:hAnsi="David" w:cs="David"/>
          <w:b/>
          <w:bCs/>
          <w:sz w:val="24"/>
          <w:szCs w:val="24"/>
          <w:rtl/>
        </w:rPr>
        <w:t xml:space="preserve">פלוני נ' פלונית </w:t>
      </w:r>
      <w:r w:rsidRPr="00116BDC">
        <w:rPr>
          <w:rFonts w:ascii="David" w:eastAsia="Times New Roman" w:hAnsi="David" w:cs="David"/>
          <w:sz w:val="24"/>
          <w:szCs w:val="24"/>
          <w:rtl/>
        </w:rPr>
        <w:t xml:space="preserve">(מצוי במאגרים המשפטיים; 19.7.17) הלכה בכל הקשור עם העמדת מזונות בגילאים אלה מדין צדקה על יסוד יכולות השתכרות ההורים וזמני השהות שלהם בפועל עם הקטינים, בכפוף לנסיבותיו הספציפיות של המקרה [השוו: בע"מ 817/18 </w:t>
      </w:r>
      <w:r w:rsidRPr="00116BDC">
        <w:rPr>
          <w:rFonts w:ascii="David" w:eastAsia="Times New Roman" w:hAnsi="David" w:cs="David"/>
          <w:b/>
          <w:bCs/>
          <w:sz w:val="24"/>
          <w:szCs w:val="24"/>
          <w:rtl/>
        </w:rPr>
        <w:t>פלוני נ' פלונית</w:t>
      </w:r>
      <w:r w:rsidRPr="00116BDC">
        <w:rPr>
          <w:rFonts w:ascii="David" w:eastAsia="Times New Roman" w:hAnsi="David" w:cs="David"/>
          <w:sz w:val="24"/>
          <w:szCs w:val="24"/>
          <w:rtl/>
        </w:rPr>
        <w:t xml:space="preserve"> (מצוי במאגרים המשפטיים; 31.1.18), עמ"ש 14612-10-16 (ת"א) </w:t>
      </w:r>
      <w:r w:rsidRPr="00116BDC">
        <w:rPr>
          <w:rFonts w:ascii="David" w:eastAsia="Times New Roman" w:hAnsi="David" w:cs="David"/>
          <w:b/>
          <w:bCs/>
          <w:sz w:val="24"/>
          <w:szCs w:val="24"/>
          <w:rtl/>
        </w:rPr>
        <w:t xml:space="preserve">פ' ב' נ' ע' פ' </w:t>
      </w:r>
      <w:r w:rsidRPr="00116BDC">
        <w:rPr>
          <w:rFonts w:ascii="David" w:eastAsia="Times New Roman" w:hAnsi="David" w:cs="David"/>
          <w:sz w:val="24"/>
          <w:szCs w:val="24"/>
          <w:rtl/>
        </w:rPr>
        <w:t xml:space="preserve">(מצוי במאגרים המשפטיים; 20.12.17)]. </w:t>
      </w:r>
    </w:p>
    <w:p w:rsidR="00961D49" w:rsidRPr="00116BDC" w:rsidRDefault="00961D49" w:rsidP="00961D49">
      <w:pPr>
        <w:pStyle w:val="af"/>
        <w:tabs>
          <w:tab w:val="left" w:pos="567"/>
        </w:tabs>
        <w:spacing w:after="0" w:line="360" w:lineRule="auto"/>
        <w:ind w:left="567"/>
        <w:jc w:val="both"/>
        <w:rPr>
          <w:rFonts w:ascii="David" w:hAnsi="David" w:cs="David"/>
          <w:sz w:val="24"/>
          <w:szCs w:val="24"/>
        </w:rPr>
      </w:pPr>
    </w:p>
    <w:p w:rsidR="00F12B2B" w:rsidRPr="00116BDC" w:rsidRDefault="00F12B2B" w:rsidP="00F12B2B">
      <w:pPr>
        <w:pStyle w:val="af"/>
        <w:tabs>
          <w:tab w:val="left" w:pos="567"/>
        </w:tabs>
        <w:spacing w:after="0" w:line="360" w:lineRule="auto"/>
        <w:ind w:left="567" w:hanging="567"/>
        <w:jc w:val="both"/>
        <w:rPr>
          <w:rFonts w:ascii="David" w:hAnsi="David" w:cs="David"/>
          <w:sz w:val="24"/>
          <w:szCs w:val="24"/>
        </w:rPr>
      </w:pPr>
      <w:r w:rsidRPr="00116BDC">
        <w:rPr>
          <w:rFonts w:ascii="David" w:eastAsia="Times New Roman" w:hAnsi="David" w:cs="David"/>
          <w:sz w:val="24"/>
          <w:szCs w:val="24"/>
          <w:rtl/>
        </w:rPr>
        <w:tab/>
        <w:t xml:space="preserve">כן נקבע, כי אין להחיל הלכה זו רק במקרים בהם ישנה משמורת משותפת של הקטינים בידי הוריהם אלא בכל מקרה בו דנים במזונות ילד מעל גיל 6 (ראו: עמ"ש (ת"א) 33549-04-16) </w:t>
      </w:r>
      <w:r w:rsidRPr="00116BDC">
        <w:rPr>
          <w:rFonts w:ascii="David" w:eastAsia="Times New Roman" w:hAnsi="David" w:cs="David"/>
          <w:b/>
          <w:bCs/>
          <w:sz w:val="24"/>
          <w:szCs w:val="24"/>
          <w:rtl/>
        </w:rPr>
        <w:t>פלוני נ' פלונית</w:t>
      </w:r>
      <w:r w:rsidRPr="00116BDC">
        <w:rPr>
          <w:rFonts w:ascii="David" w:eastAsia="Times New Roman" w:hAnsi="David" w:cs="David"/>
          <w:sz w:val="24"/>
          <w:szCs w:val="24"/>
          <w:rtl/>
        </w:rPr>
        <w:t xml:space="preserve"> [פורסם בנבו]. </w:t>
      </w:r>
    </w:p>
    <w:p w:rsidR="00F12B2B" w:rsidRPr="00116BDC" w:rsidRDefault="00F12B2B" w:rsidP="00F12B2B">
      <w:pPr>
        <w:pStyle w:val="af"/>
        <w:tabs>
          <w:tab w:val="left" w:pos="567"/>
        </w:tabs>
        <w:spacing w:after="0" w:line="360" w:lineRule="auto"/>
        <w:ind w:left="567" w:hanging="567"/>
        <w:jc w:val="both"/>
        <w:rPr>
          <w:rFonts w:ascii="David" w:hAnsi="David" w:cs="David"/>
          <w:sz w:val="24"/>
          <w:szCs w:val="24"/>
          <w:rtl/>
        </w:rPr>
      </w:pPr>
    </w:p>
    <w:p w:rsidR="00F12B2B" w:rsidRPr="00116BDC" w:rsidRDefault="00F12B2B" w:rsidP="00F12B2B">
      <w:pPr>
        <w:pStyle w:val="af"/>
        <w:tabs>
          <w:tab w:val="left" w:pos="567"/>
        </w:tabs>
        <w:spacing w:after="0" w:line="360" w:lineRule="auto"/>
        <w:ind w:left="567" w:hanging="567"/>
        <w:jc w:val="both"/>
        <w:rPr>
          <w:rFonts w:ascii="David" w:hAnsi="David" w:cs="David"/>
          <w:sz w:val="24"/>
          <w:szCs w:val="24"/>
        </w:rPr>
      </w:pPr>
      <w:r w:rsidRPr="00116BDC">
        <w:rPr>
          <w:rFonts w:ascii="David" w:hAnsi="David" w:cs="David"/>
          <w:sz w:val="24"/>
          <w:szCs w:val="24"/>
          <w:rtl/>
        </w:rPr>
        <w:tab/>
        <w:t xml:space="preserve">יחד עם זאת נפסק, כי הלכה זו כפופה לנסיבותיו של כל מקרה ומקרה, ומאז נפסקה ההלכה אף נקבע, לא פעם, כי "תרגומה" לנוסחאות חשבוניות  - שהן בבחינת כלי עזר - איננו העיקר ואיננו מחוייב המציאות, לבטח שלא בכל מקרה ומקרה [השוו: בע"מ 817/18 </w:t>
      </w:r>
      <w:r w:rsidRPr="00116BDC">
        <w:rPr>
          <w:rFonts w:ascii="David" w:hAnsi="David" w:cs="David"/>
          <w:b/>
          <w:bCs/>
          <w:sz w:val="24"/>
          <w:szCs w:val="24"/>
          <w:rtl/>
        </w:rPr>
        <w:t>פלוני נ' פלונית</w:t>
      </w:r>
      <w:r w:rsidRPr="00116BDC">
        <w:rPr>
          <w:rFonts w:ascii="David" w:hAnsi="David" w:cs="David"/>
          <w:sz w:val="24"/>
          <w:szCs w:val="24"/>
          <w:rtl/>
        </w:rPr>
        <w:t xml:space="preserve"> (מצוי במאגרים המשפטיים ; 31.1.18);  עמ"ש 14612-10-16 (ת"א) </w:t>
      </w:r>
      <w:r w:rsidRPr="00116BDC">
        <w:rPr>
          <w:rFonts w:ascii="David" w:hAnsi="David" w:cs="David"/>
          <w:b/>
          <w:bCs/>
          <w:sz w:val="24"/>
          <w:szCs w:val="24"/>
          <w:rtl/>
        </w:rPr>
        <w:t xml:space="preserve">פ' ב' נ' ע' פ' </w:t>
      </w:r>
      <w:r w:rsidRPr="00116BDC">
        <w:rPr>
          <w:rFonts w:ascii="David" w:hAnsi="David" w:cs="David"/>
          <w:sz w:val="24"/>
          <w:szCs w:val="24"/>
          <w:rtl/>
        </w:rPr>
        <w:t xml:space="preserve">(מצוי במאגרים המשפטיים; 20.12.17); עמ"ש (חיפה) 17309-05-17 </w:t>
      </w:r>
      <w:r w:rsidRPr="00116BDC">
        <w:rPr>
          <w:rFonts w:ascii="David" w:hAnsi="David" w:cs="David"/>
          <w:b/>
          <w:bCs/>
          <w:sz w:val="24"/>
          <w:szCs w:val="24"/>
          <w:rtl/>
        </w:rPr>
        <w:t>ג.ט נ' א.ק</w:t>
      </w:r>
      <w:r w:rsidRPr="00116BDC">
        <w:rPr>
          <w:rFonts w:ascii="David" w:hAnsi="David" w:cs="David"/>
          <w:sz w:val="24"/>
          <w:szCs w:val="24"/>
          <w:rtl/>
        </w:rPr>
        <w:t xml:space="preserve"> (מצוי במאגרים המשפטיים; 15.6.18); עמ"ש (מרכז) 11623-07-17 </w:t>
      </w:r>
      <w:r w:rsidRPr="00116BDC">
        <w:rPr>
          <w:rFonts w:ascii="David" w:hAnsi="David" w:cs="David"/>
          <w:b/>
          <w:bCs/>
          <w:sz w:val="24"/>
          <w:szCs w:val="24"/>
          <w:rtl/>
        </w:rPr>
        <w:t>ד.ש נ' מ.ש</w:t>
      </w:r>
      <w:r w:rsidRPr="00116BDC">
        <w:rPr>
          <w:rFonts w:ascii="David" w:hAnsi="David" w:cs="David"/>
          <w:sz w:val="24"/>
          <w:szCs w:val="24"/>
          <w:rtl/>
        </w:rPr>
        <w:t xml:space="preserve"> (מצוי במאגרים המשפטיים; 24.6.18)].</w:t>
      </w:r>
    </w:p>
    <w:p w:rsidR="00F12B2B" w:rsidRPr="00116BDC" w:rsidRDefault="00F12B2B" w:rsidP="00E731CA">
      <w:pPr>
        <w:pStyle w:val="af"/>
        <w:numPr>
          <w:ilvl w:val="0"/>
          <w:numId w:val="1"/>
        </w:numPr>
        <w:tabs>
          <w:tab w:val="left" w:pos="567"/>
        </w:tabs>
        <w:spacing w:after="0" w:line="360" w:lineRule="auto"/>
        <w:ind w:left="567" w:hanging="567"/>
        <w:jc w:val="both"/>
        <w:rPr>
          <w:rFonts w:ascii="David" w:hAnsi="David" w:cs="David"/>
          <w:sz w:val="24"/>
          <w:szCs w:val="24"/>
          <w:rtl/>
        </w:rPr>
      </w:pPr>
      <w:r w:rsidRPr="00116BDC">
        <w:rPr>
          <w:rFonts w:ascii="David" w:hAnsi="David" w:cs="David"/>
          <w:sz w:val="24"/>
          <w:szCs w:val="24"/>
          <w:rtl/>
        </w:rPr>
        <w:lastRenderedPageBreak/>
        <w:t>לנוכח גילאי הקטינים ע</w:t>
      </w:r>
      <w:r w:rsidR="00E731CA">
        <w:rPr>
          <w:rFonts w:ascii="David" w:hAnsi="David" w:cs="David" w:hint="cs"/>
          <w:sz w:val="24"/>
          <w:szCs w:val="24"/>
          <w:rtl/>
        </w:rPr>
        <w:t>'</w:t>
      </w:r>
      <w:r w:rsidRPr="00116BDC">
        <w:rPr>
          <w:rFonts w:ascii="David" w:hAnsi="David" w:cs="David"/>
          <w:sz w:val="24"/>
          <w:szCs w:val="24"/>
          <w:rtl/>
        </w:rPr>
        <w:t>, א</w:t>
      </w:r>
      <w:r w:rsidR="00E731CA">
        <w:rPr>
          <w:rFonts w:ascii="David" w:hAnsi="David" w:cs="David" w:hint="cs"/>
          <w:sz w:val="24"/>
          <w:szCs w:val="24"/>
          <w:rtl/>
        </w:rPr>
        <w:t xml:space="preserve">' </w:t>
      </w:r>
      <w:r w:rsidRPr="00116BDC">
        <w:rPr>
          <w:rFonts w:ascii="David" w:hAnsi="David" w:cs="David"/>
          <w:sz w:val="24"/>
          <w:szCs w:val="24"/>
          <w:rtl/>
        </w:rPr>
        <w:t>ו</w:t>
      </w:r>
      <w:r w:rsidR="00E731CA">
        <w:rPr>
          <w:rFonts w:ascii="David" w:hAnsi="David" w:cs="David" w:hint="cs"/>
          <w:sz w:val="24"/>
          <w:szCs w:val="24"/>
          <w:rtl/>
        </w:rPr>
        <w:t>-</w:t>
      </w:r>
      <w:r w:rsidR="00731B20">
        <w:rPr>
          <w:rFonts w:ascii="David" w:hAnsi="David" w:cs="David"/>
          <w:sz w:val="24"/>
          <w:szCs w:val="24"/>
          <w:rtl/>
        </w:rPr>
        <w:t>נ'</w:t>
      </w:r>
      <w:r w:rsidRPr="00116BDC">
        <w:rPr>
          <w:rFonts w:ascii="David" w:hAnsi="David" w:cs="David"/>
          <w:sz w:val="24"/>
          <w:szCs w:val="24"/>
          <w:rtl/>
        </w:rPr>
        <w:t xml:space="preserve">, שני הצדדים חייבים במזונותיהם בהתאם להלכת בע"מ 919/15 הנ"ל, ואילו בכל הקשור למזונות הקטין </w:t>
      </w:r>
      <w:r w:rsidR="00E731CA">
        <w:rPr>
          <w:rFonts w:ascii="David" w:hAnsi="David" w:cs="David" w:hint="cs"/>
          <w:sz w:val="24"/>
          <w:szCs w:val="24"/>
          <w:rtl/>
        </w:rPr>
        <w:t>י'</w:t>
      </w:r>
      <w:r w:rsidRPr="00116BDC">
        <w:rPr>
          <w:rFonts w:ascii="David" w:hAnsi="David" w:cs="David"/>
          <w:sz w:val="24"/>
          <w:szCs w:val="24"/>
          <w:rtl/>
        </w:rPr>
        <w:t xml:space="preserve">, מוטל על האב חיוב אבסולוטי לספק את צרכיו ההכרחיים. </w:t>
      </w:r>
    </w:p>
    <w:p w:rsidR="00F12B2B" w:rsidRPr="00116BDC" w:rsidRDefault="00F12B2B" w:rsidP="00F12B2B">
      <w:pPr>
        <w:pStyle w:val="af"/>
        <w:tabs>
          <w:tab w:val="left" w:pos="567"/>
        </w:tabs>
        <w:spacing w:after="0" w:line="360" w:lineRule="auto"/>
        <w:ind w:left="567" w:hanging="567"/>
        <w:jc w:val="both"/>
        <w:rPr>
          <w:rFonts w:ascii="David" w:hAnsi="David" w:cs="David"/>
          <w:sz w:val="24"/>
          <w:szCs w:val="24"/>
        </w:rPr>
      </w:pPr>
    </w:p>
    <w:p w:rsidR="00F12B2B" w:rsidRPr="00116BDC" w:rsidRDefault="00F12B2B" w:rsidP="00F12B2B">
      <w:pPr>
        <w:pStyle w:val="af"/>
        <w:numPr>
          <w:ilvl w:val="0"/>
          <w:numId w:val="1"/>
        </w:numPr>
        <w:tabs>
          <w:tab w:val="left" w:pos="567"/>
        </w:tabs>
        <w:spacing w:after="0" w:line="360" w:lineRule="auto"/>
        <w:ind w:left="567" w:hanging="567"/>
        <w:jc w:val="both"/>
        <w:rPr>
          <w:rFonts w:ascii="David" w:hAnsi="David" w:cs="David"/>
          <w:sz w:val="24"/>
          <w:szCs w:val="24"/>
        </w:rPr>
      </w:pPr>
      <w:r w:rsidRPr="00116BDC">
        <w:rPr>
          <w:rFonts w:ascii="David" w:hAnsi="David" w:cs="David"/>
          <w:sz w:val="24"/>
          <w:szCs w:val="24"/>
          <w:rtl/>
        </w:rPr>
        <w:t xml:space="preserve">נפנה כעת לבחינת הנתונים הרלוונטיים לצורך ההכרעה במחלוקת בין הצדדים בעניין החיוב במזונות הקטינים והיקפו. </w:t>
      </w:r>
    </w:p>
    <w:p w:rsidR="00F12B2B" w:rsidRPr="00116BDC" w:rsidRDefault="00F12B2B" w:rsidP="00F12B2B">
      <w:pPr>
        <w:tabs>
          <w:tab w:val="left" w:pos="567"/>
        </w:tabs>
        <w:spacing w:line="360" w:lineRule="auto"/>
        <w:ind w:left="567" w:hanging="567"/>
        <w:jc w:val="both"/>
        <w:rPr>
          <w:rFonts w:ascii="David" w:hAnsi="David"/>
          <w:rtl/>
        </w:rPr>
      </w:pPr>
    </w:p>
    <w:p w:rsidR="00F12B2B" w:rsidRPr="00116BDC" w:rsidRDefault="00F12B2B" w:rsidP="00F12B2B">
      <w:pPr>
        <w:tabs>
          <w:tab w:val="left" w:pos="567"/>
        </w:tabs>
        <w:spacing w:line="360" w:lineRule="auto"/>
        <w:ind w:left="567" w:hanging="567"/>
        <w:jc w:val="both"/>
        <w:rPr>
          <w:rFonts w:ascii="David" w:eastAsiaTheme="minorHAnsi" w:hAnsi="David"/>
          <w:rtl/>
        </w:rPr>
      </w:pPr>
    </w:p>
    <w:p w:rsidR="00F12B2B" w:rsidRPr="00116BDC" w:rsidRDefault="00F12B2B" w:rsidP="00F12B2B">
      <w:pPr>
        <w:tabs>
          <w:tab w:val="left" w:pos="567"/>
        </w:tabs>
        <w:spacing w:line="360" w:lineRule="auto"/>
        <w:ind w:left="567" w:hanging="567"/>
        <w:jc w:val="both"/>
        <w:rPr>
          <w:rFonts w:ascii="David" w:hAnsi="David"/>
          <w:b/>
          <w:bCs/>
          <w:u w:val="single"/>
          <w:rtl/>
        </w:rPr>
      </w:pPr>
      <w:r w:rsidRPr="00116BDC">
        <w:rPr>
          <w:rFonts w:ascii="David" w:hAnsi="David"/>
          <w:b/>
          <w:bCs/>
          <w:u w:val="single"/>
          <w:rtl/>
        </w:rPr>
        <w:t>הכנסות הצדדים, פוטנציאל השתכרותם ומצבם הכלכלי</w:t>
      </w:r>
    </w:p>
    <w:p w:rsidR="00F12B2B" w:rsidRPr="00116BDC" w:rsidRDefault="00F12B2B" w:rsidP="00F12B2B">
      <w:pPr>
        <w:tabs>
          <w:tab w:val="left" w:pos="567"/>
        </w:tabs>
        <w:spacing w:line="360" w:lineRule="auto"/>
        <w:ind w:left="567" w:hanging="567"/>
        <w:jc w:val="both"/>
        <w:rPr>
          <w:rFonts w:ascii="David" w:hAnsi="David"/>
          <w:b/>
          <w:bCs/>
          <w:u w:val="single"/>
          <w:rtl/>
        </w:rPr>
      </w:pPr>
    </w:p>
    <w:p w:rsidR="00F12B2B" w:rsidRPr="00116BDC" w:rsidRDefault="00F12B2B" w:rsidP="00F12B2B">
      <w:pPr>
        <w:tabs>
          <w:tab w:val="left" w:pos="567"/>
        </w:tabs>
        <w:spacing w:line="360" w:lineRule="auto"/>
        <w:ind w:left="567" w:hanging="567"/>
        <w:jc w:val="both"/>
        <w:rPr>
          <w:rFonts w:ascii="David" w:hAnsi="David"/>
          <w:b/>
          <w:bCs/>
          <w:u w:val="single"/>
          <w:rtl/>
        </w:rPr>
      </w:pPr>
      <w:r w:rsidRPr="00116BDC">
        <w:rPr>
          <w:rFonts w:ascii="David" w:hAnsi="David"/>
          <w:b/>
          <w:bCs/>
          <w:u w:val="single"/>
          <w:rtl/>
        </w:rPr>
        <w:t>יכולותיה הכלכליות של האם</w:t>
      </w:r>
      <w:r w:rsidRPr="00116BDC">
        <w:rPr>
          <w:rFonts w:ascii="David" w:hAnsi="David"/>
          <w:b/>
          <w:bCs/>
          <w:rtl/>
        </w:rPr>
        <w:t>:</w:t>
      </w:r>
    </w:p>
    <w:p w:rsidR="006E70AD" w:rsidRPr="00116BDC" w:rsidRDefault="006E70AD" w:rsidP="00F12B2B">
      <w:pPr>
        <w:tabs>
          <w:tab w:val="left" w:pos="567"/>
        </w:tabs>
        <w:spacing w:line="360" w:lineRule="auto"/>
        <w:ind w:left="567" w:hanging="567"/>
        <w:jc w:val="both"/>
        <w:rPr>
          <w:rFonts w:ascii="David" w:hAnsi="David"/>
          <w:b/>
          <w:bCs/>
          <w:u w:val="single"/>
          <w:rtl/>
        </w:rPr>
      </w:pPr>
    </w:p>
    <w:p w:rsidR="00F12B2B" w:rsidRPr="00116BDC" w:rsidRDefault="00E731CA" w:rsidP="00E731CA">
      <w:pPr>
        <w:pStyle w:val="af"/>
        <w:numPr>
          <w:ilvl w:val="0"/>
          <w:numId w:val="1"/>
        </w:numPr>
        <w:tabs>
          <w:tab w:val="left" w:pos="567"/>
        </w:tabs>
        <w:spacing w:after="0" w:line="360" w:lineRule="auto"/>
        <w:ind w:left="567" w:hanging="567"/>
        <w:jc w:val="both"/>
        <w:rPr>
          <w:rFonts w:ascii="David" w:hAnsi="David" w:cs="David"/>
          <w:sz w:val="24"/>
          <w:szCs w:val="24"/>
          <w:rtl/>
        </w:rPr>
      </w:pPr>
      <w:r>
        <w:rPr>
          <w:rFonts w:ascii="David" w:hAnsi="David" w:cs="David"/>
          <w:sz w:val="24"/>
          <w:szCs w:val="24"/>
          <w:rtl/>
        </w:rPr>
        <w:t xml:space="preserve">האם עובדת כאחות בבית חולים </w:t>
      </w:r>
      <w:r>
        <w:rPr>
          <w:rFonts w:ascii="David" w:hAnsi="David" w:cs="David" w:hint="cs"/>
          <w:sz w:val="24"/>
          <w:szCs w:val="24"/>
          <w:rtl/>
        </w:rPr>
        <w:t>***</w:t>
      </w:r>
      <w:r w:rsidR="00F12B2B" w:rsidRPr="00116BDC">
        <w:rPr>
          <w:rFonts w:ascii="David" w:hAnsi="David" w:cs="David"/>
          <w:sz w:val="24"/>
          <w:szCs w:val="24"/>
          <w:rtl/>
        </w:rPr>
        <w:t xml:space="preserve"> במחלקת </w:t>
      </w:r>
      <w:r>
        <w:rPr>
          <w:rFonts w:ascii="David" w:hAnsi="David" w:cs="David" w:hint="cs"/>
          <w:sz w:val="24"/>
          <w:szCs w:val="24"/>
          <w:rtl/>
        </w:rPr>
        <w:t>***</w:t>
      </w:r>
      <w:r w:rsidR="00F12B2B" w:rsidRPr="00116BDC">
        <w:rPr>
          <w:rFonts w:ascii="David" w:hAnsi="David" w:cs="David"/>
          <w:sz w:val="24"/>
          <w:szCs w:val="24"/>
          <w:rtl/>
        </w:rPr>
        <w:t xml:space="preserve"> מזה כ-13 שנים. </w:t>
      </w:r>
    </w:p>
    <w:p w:rsidR="00F12B2B" w:rsidRPr="00116BDC" w:rsidRDefault="00F12B2B" w:rsidP="00F12B2B">
      <w:pPr>
        <w:pStyle w:val="af"/>
        <w:tabs>
          <w:tab w:val="left" w:pos="567"/>
        </w:tabs>
        <w:spacing w:after="0" w:line="360" w:lineRule="auto"/>
        <w:ind w:left="567" w:hanging="567"/>
        <w:jc w:val="both"/>
        <w:rPr>
          <w:rFonts w:ascii="David" w:hAnsi="David" w:cs="David"/>
          <w:sz w:val="24"/>
          <w:szCs w:val="24"/>
        </w:rPr>
      </w:pPr>
    </w:p>
    <w:p w:rsidR="00F12B2B" w:rsidRPr="00116BDC" w:rsidRDefault="00F12B2B" w:rsidP="00F12B2B">
      <w:pPr>
        <w:pStyle w:val="af"/>
        <w:numPr>
          <w:ilvl w:val="0"/>
          <w:numId w:val="1"/>
        </w:numPr>
        <w:tabs>
          <w:tab w:val="left" w:pos="567"/>
        </w:tabs>
        <w:spacing w:after="0" w:line="360" w:lineRule="auto"/>
        <w:ind w:left="567" w:hanging="567"/>
        <w:jc w:val="both"/>
        <w:rPr>
          <w:rFonts w:ascii="David" w:hAnsi="David" w:cs="David"/>
          <w:sz w:val="24"/>
          <w:szCs w:val="24"/>
        </w:rPr>
      </w:pPr>
      <w:r w:rsidRPr="00116BDC">
        <w:rPr>
          <w:rFonts w:ascii="David" w:hAnsi="David" w:cs="David"/>
          <w:sz w:val="24"/>
          <w:szCs w:val="24"/>
          <w:rtl/>
        </w:rPr>
        <w:t xml:space="preserve">בתצהיר עדותה הראשית העמידה האם את הכנסתה הממוצעת מעבודתה על סכום של </w:t>
      </w:r>
      <w:r w:rsidRPr="00116BDC">
        <w:rPr>
          <w:rFonts w:ascii="David" w:hAnsi="David" w:cs="David"/>
          <w:sz w:val="24"/>
          <w:szCs w:val="24"/>
          <w:rtl/>
        </w:rPr>
        <w:br/>
        <w:t xml:space="preserve">כ-11,000 ₪ נטו לחודש. לעומתה, טוען האב בתצהיר עדותו הראשית כי שכרה של האם עולה על סכום של 13,500 ₪ נטו לחודש ובסיכומיו העמידו על כ-16,500 ₪. בצירוף קצבאות המוסד לביטוח לאומי ותשלום מזונות זמניים, העמיד האב את הכנסות האם על סכום כולל של 20,900 ₪ לחודש. </w:t>
      </w:r>
    </w:p>
    <w:p w:rsidR="00F12B2B" w:rsidRPr="00116BDC" w:rsidRDefault="00F12B2B" w:rsidP="00F12B2B">
      <w:pPr>
        <w:pStyle w:val="af"/>
        <w:tabs>
          <w:tab w:val="left" w:pos="567"/>
        </w:tabs>
        <w:spacing w:after="0" w:line="360" w:lineRule="auto"/>
        <w:ind w:left="567" w:hanging="567"/>
        <w:jc w:val="both"/>
        <w:rPr>
          <w:rFonts w:ascii="David" w:hAnsi="David" w:cs="David"/>
          <w:sz w:val="24"/>
          <w:szCs w:val="24"/>
        </w:rPr>
      </w:pPr>
    </w:p>
    <w:p w:rsidR="00F12B2B" w:rsidRPr="00116BDC" w:rsidRDefault="00F12B2B" w:rsidP="00F12B2B">
      <w:pPr>
        <w:pStyle w:val="af"/>
        <w:numPr>
          <w:ilvl w:val="0"/>
          <w:numId w:val="1"/>
        </w:numPr>
        <w:tabs>
          <w:tab w:val="left" w:pos="567"/>
        </w:tabs>
        <w:spacing w:after="0" w:line="360" w:lineRule="auto"/>
        <w:ind w:left="567" w:hanging="567"/>
        <w:jc w:val="both"/>
        <w:rPr>
          <w:rFonts w:ascii="David" w:hAnsi="David" w:cs="David"/>
          <w:sz w:val="24"/>
          <w:szCs w:val="24"/>
        </w:rPr>
      </w:pPr>
      <w:r w:rsidRPr="00116BDC">
        <w:rPr>
          <w:rFonts w:ascii="David" w:hAnsi="David" w:cs="David"/>
          <w:sz w:val="24"/>
          <w:szCs w:val="24"/>
          <w:rtl/>
        </w:rPr>
        <w:t xml:space="preserve">יצוין, כי בהחלטה למזונות זמניים דלעיל שכרה הפוטנציאלי של האם נקבע בסכום של 13,000 ₪ נטו לחודש לכל הפחות, על פי תלושי שכר לחודשים 8/2020 עד 1/2021. </w:t>
      </w:r>
    </w:p>
    <w:p w:rsidR="00F12B2B" w:rsidRPr="00116BDC" w:rsidRDefault="00F12B2B" w:rsidP="00F12B2B">
      <w:pPr>
        <w:pStyle w:val="af"/>
        <w:tabs>
          <w:tab w:val="left" w:pos="567"/>
        </w:tabs>
        <w:spacing w:after="0" w:line="360" w:lineRule="auto"/>
        <w:ind w:left="567" w:hanging="567"/>
        <w:jc w:val="both"/>
        <w:rPr>
          <w:rFonts w:ascii="David" w:hAnsi="David" w:cs="David"/>
          <w:sz w:val="24"/>
          <w:szCs w:val="24"/>
        </w:rPr>
      </w:pPr>
    </w:p>
    <w:p w:rsidR="00F12B2B" w:rsidRPr="00116BDC" w:rsidRDefault="00F12B2B" w:rsidP="00F12B2B">
      <w:pPr>
        <w:pStyle w:val="af"/>
        <w:numPr>
          <w:ilvl w:val="0"/>
          <w:numId w:val="1"/>
        </w:numPr>
        <w:tabs>
          <w:tab w:val="left" w:pos="567"/>
        </w:tabs>
        <w:spacing w:after="0" w:line="360" w:lineRule="auto"/>
        <w:ind w:left="567" w:hanging="567"/>
        <w:jc w:val="both"/>
        <w:rPr>
          <w:rFonts w:ascii="David" w:hAnsi="David" w:cs="David"/>
          <w:sz w:val="24"/>
          <w:szCs w:val="24"/>
        </w:rPr>
      </w:pPr>
      <w:r w:rsidRPr="00116BDC">
        <w:rPr>
          <w:rFonts w:ascii="David" w:hAnsi="David" w:cs="David"/>
          <w:sz w:val="24"/>
          <w:szCs w:val="24"/>
          <w:rtl/>
        </w:rPr>
        <w:t xml:space="preserve">על פי תלושי שכר של האם לחודשים 10/2021 עד 9/2022 שצורפו לתצהיר עדותה הראשית, שכרה עומד על כ-14,200 ₪  נטו לחודש בממוצע, (בהפחתת ניכויי חובה – מיסים), בהיקף משרה של 75%. </w:t>
      </w:r>
    </w:p>
    <w:p w:rsidR="00F12B2B" w:rsidRPr="00116BDC" w:rsidRDefault="00F12B2B" w:rsidP="00F12B2B">
      <w:pPr>
        <w:pStyle w:val="af"/>
        <w:tabs>
          <w:tab w:val="left" w:pos="567"/>
        </w:tabs>
        <w:spacing w:after="0" w:line="360" w:lineRule="auto"/>
        <w:ind w:left="567" w:hanging="567"/>
        <w:jc w:val="both"/>
        <w:rPr>
          <w:rFonts w:ascii="David" w:hAnsi="David" w:cs="David"/>
          <w:sz w:val="24"/>
          <w:szCs w:val="24"/>
        </w:rPr>
      </w:pPr>
    </w:p>
    <w:p w:rsidR="00F12B2B" w:rsidRPr="00116BDC" w:rsidRDefault="00F12B2B" w:rsidP="00F12B2B">
      <w:pPr>
        <w:pStyle w:val="af"/>
        <w:numPr>
          <w:ilvl w:val="0"/>
          <w:numId w:val="1"/>
        </w:numPr>
        <w:tabs>
          <w:tab w:val="left" w:pos="567"/>
        </w:tabs>
        <w:spacing w:after="0" w:line="360" w:lineRule="auto"/>
        <w:ind w:left="567" w:hanging="567"/>
        <w:jc w:val="both"/>
        <w:rPr>
          <w:rFonts w:ascii="David" w:hAnsi="David" w:cs="David"/>
          <w:sz w:val="24"/>
          <w:szCs w:val="24"/>
        </w:rPr>
      </w:pPr>
      <w:r w:rsidRPr="00116BDC">
        <w:rPr>
          <w:rFonts w:ascii="David" w:hAnsi="David" w:cs="David"/>
          <w:sz w:val="24"/>
          <w:szCs w:val="24"/>
          <w:rtl/>
        </w:rPr>
        <w:t xml:space="preserve">לטענת האב, האם פעלה לצמצם את היקף משרתה בסמוך לתחילת ההליכים המשפטיים ולמעשה, היא בעלת פוטנציאל השתכרות גבוה יותר. </w:t>
      </w:r>
    </w:p>
    <w:p w:rsidR="00F12B2B" w:rsidRPr="00116BDC" w:rsidRDefault="00F12B2B" w:rsidP="00F12B2B">
      <w:pPr>
        <w:pStyle w:val="af"/>
        <w:tabs>
          <w:tab w:val="left" w:pos="567"/>
        </w:tabs>
        <w:spacing w:after="0" w:line="360" w:lineRule="auto"/>
        <w:ind w:left="567" w:hanging="567"/>
        <w:jc w:val="both"/>
        <w:rPr>
          <w:rFonts w:ascii="David" w:hAnsi="David" w:cs="David"/>
          <w:sz w:val="24"/>
          <w:szCs w:val="24"/>
        </w:rPr>
      </w:pPr>
    </w:p>
    <w:p w:rsidR="00F12B2B" w:rsidRPr="00116BDC" w:rsidRDefault="00F12B2B" w:rsidP="00F12B2B">
      <w:pPr>
        <w:pStyle w:val="af"/>
        <w:tabs>
          <w:tab w:val="left" w:pos="567"/>
        </w:tabs>
        <w:spacing w:after="0" w:line="360" w:lineRule="auto"/>
        <w:ind w:left="567"/>
        <w:jc w:val="both"/>
        <w:rPr>
          <w:rFonts w:ascii="David" w:hAnsi="David" w:cs="David"/>
          <w:sz w:val="24"/>
          <w:szCs w:val="24"/>
        </w:rPr>
      </w:pPr>
      <w:r w:rsidRPr="00116BDC">
        <w:rPr>
          <w:rFonts w:ascii="David" w:hAnsi="David" w:cs="David"/>
          <w:sz w:val="24"/>
          <w:szCs w:val="24"/>
          <w:rtl/>
        </w:rPr>
        <w:t xml:space="preserve">בחקירתה, אישרה האם כי יש לה קביעות במקום העבודה [ראו: עמוד 14 שורות 34-35 לפרוטוקול מיום 22.11.2022 (להלן: </w:t>
      </w:r>
      <w:r w:rsidRPr="00116BDC">
        <w:rPr>
          <w:rFonts w:ascii="David" w:hAnsi="David" w:cs="David"/>
          <w:b/>
          <w:bCs/>
          <w:sz w:val="24"/>
          <w:szCs w:val="24"/>
          <w:rtl/>
        </w:rPr>
        <w:t>"הפרוטוקול"</w:t>
      </w:r>
      <w:r w:rsidRPr="00116BDC">
        <w:rPr>
          <w:rFonts w:ascii="David" w:hAnsi="David" w:cs="David"/>
          <w:sz w:val="24"/>
          <w:szCs w:val="24"/>
          <w:rtl/>
        </w:rPr>
        <w:t xml:space="preserve">)] וכי פעלה לצמצם את היקף משרתה (ראו: עמוד 12 שורה 14 לפרוטוקול). </w:t>
      </w:r>
    </w:p>
    <w:p w:rsidR="00F12B2B" w:rsidRPr="00116BDC" w:rsidRDefault="00F12B2B" w:rsidP="00F12B2B">
      <w:pPr>
        <w:pStyle w:val="af"/>
        <w:tabs>
          <w:tab w:val="left" w:pos="567"/>
        </w:tabs>
        <w:ind w:left="567" w:hanging="567"/>
        <w:rPr>
          <w:rFonts w:ascii="David" w:hAnsi="David" w:cs="David"/>
          <w:sz w:val="24"/>
          <w:szCs w:val="24"/>
        </w:rPr>
      </w:pPr>
    </w:p>
    <w:p w:rsidR="00F12B2B" w:rsidRPr="00116BDC" w:rsidRDefault="00F12B2B" w:rsidP="00E731CA">
      <w:pPr>
        <w:pStyle w:val="af"/>
        <w:tabs>
          <w:tab w:val="left" w:pos="567"/>
        </w:tabs>
        <w:spacing w:after="0" w:line="360" w:lineRule="auto"/>
        <w:ind w:left="567" w:hanging="567"/>
        <w:jc w:val="both"/>
        <w:rPr>
          <w:rFonts w:ascii="David" w:hAnsi="David" w:cs="David"/>
          <w:sz w:val="24"/>
          <w:szCs w:val="24"/>
          <w:rtl/>
        </w:rPr>
      </w:pPr>
      <w:r w:rsidRPr="00116BDC">
        <w:rPr>
          <w:rFonts w:ascii="David" w:hAnsi="David" w:cs="David"/>
          <w:sz w:val="24"/>
          <w:szCs w:val="24"/>
          <w:rtl/>
        </w:rPr>
        <w:tab/>
        <w:t xml:space="preserve">מעיון במכתב ממחלקת משאבי אנוש בבית חולים </w:t>
      </w:r>
      <w:r w:rsidR="00E731CA">
        <w:rPr>
          <w:rFonts w:ascii="David" w:hAnsi="David" w:cs="David" w:hint="cs"/>
          <w:sz w:val="24"/>
          <w:szCs w:val="24"/>
          <w:rtl/>
        </w:rPr>
        <w:t>***</w:t>
      </w:r>
      <w:r w:rsidRPr="00116BDC">
        <w:rPr>
          <w:rFonts w:ascii="David" w:hAnsi="David" w:cs="David"/>
          <w:sz w:val="24"/>
          <w:szCs w:val="24"/>
          <w:rtl/>
        </w:rPr>
        <w:t xml:space="preserve"> מיום 16.7.2020 (צורף כנספח ג' לכתב התביעה), עולה, כי האם פנתה כבר ביום 24.5.2020, סמוך לאחר מועד לידתו של הקטין </w:t>
      </w:r>
      <w:r w:rsidR="00E731CA">
        <w:rPr>
          <w:rFonts w:ascii="David" w:hAnsi="David" w:cs="David" w:hint="cs"/>
          <w:sz w:val="24"/>
          <w:szCs w:val="24"/>
          <w:rtl/>
        </w:rPr>
        <w:t>י'</w:t>
      </w:r>
      <w:r w:rsidRPr="00116BDC">
        <w:rPr>
          <w:rFonts w:ascii="David" w:hAnsi="David" w:cs="David"/>
          <w:sz w:val="24"/>
          <w:szCs w:val="24"/>
          <w:rtl/>
        </w:rPr>
        <w:t xml:space="preserve">, </w:t>
      </w:r>
      <w:r w:rsidRPr="00116BDC">
        <w:rPr>
          <w:rFonts w:ascii="David" w:hAnsi="David" w:cs="David"/>
          <w:sz w:val="24"/>
          <w:szCs w:val="24"/>
          <w:rtl/>
        </w:rPr>
        <w:lastRenderedPageBreak/>
        <w:t xml:space="preserve">בבקשה להקטנת היקף המשרה. עוד עולה ממכתב זה, כי האם צמצמה היקף המשרה </w:t>
      </w:r>
      <w:r w:rsidR="006E70AD" w:rsidRPr="00116BDC">
        <w:rPr>
          <w:rFonts w:ascii="David" w:hAnsi="David" w:cs="David"/>
          <w:sz w:val="24"/>
          <w:szCs w:val="24"/>
          <w:rtl/>
        </w:rPr>
        <w:br/>
      </w:r>
      <w:r w:rsidRPr="00116BDC">
        <w:rPr>
          <w:rFonts w:ascii="David" w:hAnsi="David" w:cs="David"/>
          <w:sz w:val="24"/>
          <w:szCs w:val="24"/>
          <w:rtl/>
        </w:rPr>
        <w:t xml:space="preserve">מ-80% ל-75%, קרי היקף המשרה צומצם ב-5% בלבד, בהשוואה להיקף המשרה שהיה ערב פנייתה כאמור. </w:t>
      </w:r>
    </w:p>
    <w:p w:rsidR="00F12B2B" w:rsidRPr="00116BDC" w:rsidRDefault="00F12B2B" w:rsidP="00F12B2B">
      <w:pPr>
        <w:pStyle w:val="af"/>
        <w:tabs>
          <w:tab w:val="left" w:pos="567"/>
        </w:tabs>
        <w:spacing w:after="0" w:line="360" w:lineRule="auto"/>
        <w:ind w:left="567" w:hanging="567"/>
        <w:jc w:val="both"/>
        <w:rPr>
          <w:rFonts w:ascii="David" w:hAnsi="David" w:cs="David"/>
          <w:sz w:val="24"/>
          <w:szCs w:val="24"/>
          <w:rtl/>
        </w:rPr>
      </w:pPr>
    </w:p>
    <w:p w:rsidR="00F12B2B" w:rsidRPr="00116BDC" w:rsidRDefault="00F12B2B" w:rsidP="00F12B2B">
      <w:pPr>
        <w:pStyle w:val="af"/>
        <w:tabs>
          <w:tab w:val="left" w:pos="567"/>
        </w:tabs>
        <w:spacing w:after="0" w:line="360" w:lineRule="auto"/>
        <w:ind w:left="567" w:hanging="567"/>
        <w:jc w:val="both"/>
        <w:rPr>
          <w:rFonts w:ascii="David" w:hAnsi="David" w:cs="David"/>
          <w:sz w:val="24"/>
          <w:szCs w:val="24"/>
          <w:rtl/>
        </w:rPr>
      </w:pPr>
      <w:r w:rsidRPr="00116BDC">
        <w:rPr>
          <w:rFonts w:ascii="David" w:hAnsi="David" w:cs="David"/>
          <w:sz w:val="24"/>
          <w:szCs w:val="24"/>
          <w:rtl/>
        </w:rPr>
        <w:tab/>
        <w:t>בעדותה, העידה האם כי בשים לב לזמני השהות עם הקטינים, היא אינה יכולה להגדיל את היקף משרתה, הואיל והגדלת היקף המשרה כרוכה בהעסקה במשמורות לילה נוספות (ר' עמ' 12, שורות 32-18 לפרוטוקול).</w:t>
      </w:r>
    </w:p>
    <w:p w:rsidR="006E70AD" w:rsidRPr="00116BDC" w:rsidRDefault="006E70AD" w:rsidP="00F12B2B">
      <w:pPr>
        <w:pStyle w:val="af"/>
        <w:tabs>
          <w:tab w:val="left" w:pos="567"/>
        </w:tabs>
        <w:spacing w:after="0" w:line="360" w:lineRule="auto"/>
        <w:ind w:left="567" w:hanging="567"/>
        <w:jc w:val="both"/>
        <w:rPr>
          <w:rFonts w:ascii="David" w:hAnsi="David" w:cs="David"/>
          <w:sz w:val="24"/>
          <w:szCs w:val="24"/>
          <w:rtl/>
        </w:rPr>
      </w:pPr>
    </w:p>
    <w:p w:rsidR="00F12B2B" w:rsidRPr="00116BDC" w:rsidRDefault="00F12B2B" w:rsidP="00F12B2B">
      <w:pPr>
        <w:pStyle w:val="af"/>
        <w:tabs>
          <w:tab w:val="left" w:pos="567"/>
        </w:tabs>
        <w:spacing w:before="240" w:after="240" w:line="360" w:lineRule="auto"/>
        <w:ind w:left="567" w:hanging="567"/>
        <w:jc w:val="both"/>
        <w:rPr>
          <w:rFonts w:ascii="David" w:hAnsi="David" w:cs="David"/>
          <w:sz w:val="24"/>
          <w:szCs w:val="24"/>
          <w:rtl/>
        </w:rPr>
      </w:pPr>
      <w:r w:rsidRPr="00116BDC">
        <w:rPr>
          <w:rFonts w:ascii="David" w:hAnsi="David" w:cs="David"/>
          <w:sz w:val="24"/>
          <w:szCs w:val="24"/>
          <w:rtl/>
        </w:rPr>
        <w:tab/>
        <w:t xml:space="preserve">עדותה של האם בדבר העדר יכולתה להגדיל את היקף משרתה - לא נסתרה. אשר על כן, בשים לב שהגדלת היקף המשרה מחייבת העסקה במשמורות ערב ולילה ושעה שזמני השהות של האב עם הקטינים כוללים לינה אחת בלבד באמצע השבוע, מצאתי לקבל עמדתה של האם בדבר העדר יכולתה להגדיל היקף משרתה. </w:t>
      </w:r>
    </w:p>
    <w:p w:rsidR="006E70AD" w:rsidRPr="00116BDC" w:rsidRDefault="006E70AD" w:rsidP="00F12B2B">
      <w:pPr>
        <w:pStyle w:val="af"/>
        <w:tabs>
          <w:tab w:val="left" w:pos="567"/>
        </w:tabs>
        <w:spacing w:before="240" w:after="240" w:line="360" w:lineRule="auto"/>
        <w:ind w:left="567" w:hanging="567"/>
        <w:jc w:val="both"/>
        <w:rPr>
          <w:rFonts w:ascii="David" w:hAnsi="David" w:cs="David"/>
          <w:sz w:val="24"/>
          <w:szCs w:val="24"/>
          <w:rtl/>
        </w:rPr>
      </w:pPr>
    </w:p>
    <w:p w:rsidR="00F12B2B" w:rsidRPr="00116BDC" w:rsidRDefault="00F12B2B" w:rsidP="00F12B2B">
      <w:pPr>
        <w:pStyle w:val="af"/>
        <w:tabs>
          <w:tab w:val="left" w:pos="567"/>
        </w:tabs>
        <w:spacing w:before="240" w:after="240" w:line="360" w:lineRule="auto"/>
        <w:ind w:left="567" w:hanging="567"/>
        <w:jc w:val="both"/>
        <w:rPr>
          <w:rFonts w:ascii="David" w:hAnsi="David" w:cs="David"/>
          <w:sz w:val="24"/>
          <w:szCs w:val="24"/>
          <w:rtl/>
        </w:rPr>
      </w:pPr>
      <w:r w:rsidRPr="00116BDC">
        <w:rPr>
          <w:rFonts w:ascii="David" w:hAnsi="David" w:cs="David"/>
          <w:sz w:val="24"/>
          <w:szCs w:val="24"/>
          <w:rtl/>
        </w:rPr>
        <w:tab/>
        <w:t xml:space="preserve">סבורני כי הסבריה של האם לצמצום משרתה משיקולים של צורך כלכלי בשיבה לעבודה לאחר חצי שנה מהלידה עת מדובר היה בתקופת קורונה ושעה שגם כיום היא מוגבלת בהרחבת היקף המשרה בשל צרכי הקטינים לרבות שהות עימם ואיסופם ממסגרות החינוך, כמו גם קושי במתן משמרות לילה נוספות, מניחים את הדעת. במיוחד, שעה שקיים פער משמעותי לטובת האם בהיקף זמני השהות עם הקטינים, כפי שיפורט, המצריך מטבע הדברים פניות רבה יותר במענה לצרכיהם. </w:t>
      </w:r>
    </w:p>
    <w:p w:rsidR="006E70AD" w:rsidRPr="00116BDC" w:rsidRDefault="006E70AD" w:rsidP="00F12B2B">
      <w:pPr>
        <w:pStyle w:val="af"/>
        <w:tabs>
          <w:tab w:val="left" w:pos="567"/>
        </w:tabs>
        <w:spacing w:before="240" w:after="240" w:line="360" w:lineRule="auto"/>
        <w:ind w:left="567" w:hanging="567"/>
        <w:jc w:val="both"/>
        <w:rPr>
          <w:rFonts w:ascii="David" w:hAnsi="David" w:cs="David"/>
          <w:sz w:val="24"/>
          <w:szCs w:val="24"/>
          <w:rtl/>
        </w:rPr>
      </w:pPr>
    </w:p>
    <w:p w:rsidR="00F12B2B" w:rsidRPr="00116BDC" w:rsidRDefault="00F12B2B" w:rsidP="00F12B2B">
      <w:pPr>
        <w:pStyle w:val="af"/>
        <w:tabs>
          <w:tab w:val="left" w:pos="567"/>
        </w:tabs>
        <w:spacing w:before="240" w:after="240" w:line="360" w:lineRule="auto"/>
        <w:ind w:left="567" w:hanging="567"/>
        <w:jc w:val="both"/>
        <w:rPr>
          <w:rFonts w:ascii="David" w:hAnsi="David" w:cs="David"/>
          <w:sz w:val="24"/>
          <w:szCs w:val="24"/>
          <w:rtl/>
        </w:rPr>
      </w:pPr>
      <w:r w:rsidRPr="00116BDC">
        <w:rPr>
          <w:rFonts w:ascii="David" w:hAnsi="David" w:cs="David"/>
          <w:sz w:val="24"/>
          <w:szCs w:val="24"/>
          <w:rtl/>
        </w:rPr>
        <w:tab/>
        <w:t>במַאֲמָר מֻסְגָּר יצוין, כי אין חולק, כי צמצום היקף משרתה של האם לא פגע בהכנסתה החודשית ושכרה אף עלה (ר' עמ' 12 שורות 35-36 ועמ' 13 שורות 2-1 לפרוטוקול).</w:t>
      </w:r>
    </w:p>
    <w:p w:rsidR="006E70AD" w:rsidRPr="00116BDC" w:rsidRDefault="006E70AD" w:rsidP="00F12B2B">
      <w:pPr>
        <w:pStyle w:val="af"/>
        <w:tabs>
          <w:tab w:val="left" w:pos="567"/>
        </w:tabs>
        <w:spacing w:before="240" w:after="240" w:line="360" w:lineRule="auto"/>
        <w:ind w:left="567" w:hanging="567"/>
        <w:jc w:val="both"/>
        <w:rPr>
          <w:rFonts w:ascii="David" w:hAnsi="David" w:cs="David"/>
          <w:sz w:val="24"/>
          <w:szCs w:val="24"/>
          <w:rtl/>
        </w:rPr>
      </w:pPr>
    </w:p>
    <w:p w:rsidR="00F12B2B" w:rsidRPr="00116BDC" w:rsidRDefault="00F12B2B" w:rsidP="00F12B2B">
      <w:pPr>
        <w:pStyle w:val="af"/>
        <w:numPr>
          <w:ilvl w:val="0"/>
          <w:numId w:val="1"/>
        </w:numPr>
        <w:tabs>
          <w:tab w:val="left" w:pos="567"/>
        </w:tabs>
        <w:spacing w:after="0" w:line="360" w:lineRule="auto"/>
        <w:ind w:left="567" w:hanging="567"/>
        <w:jc w:val="both"/>
        <w:rPr>
          <w:rFonts w:ascii="David" w:hAnsi="David" w:cs="David"/>
          <w:sz w:val="24"/>
          <w:szCs w:val="24"/>
          <w:rtl/>
        </w:rPr>
      </w:pPr>
      <w:r w:rsidRPr="00116BDC">
        <w:rPr>
          <w:rFonts w:ascii="David" w:hAnsi="David" w:cs="David"/>
          <w:sz w:val="24"/>
          <w:szCs w:val="24"/>
          <w:rtl/>
        </w:rPr>
        <w:t xml:space="preserve">לאור האמור, בהתחשב מהמשתקף מתלושי השכר של האם; בראי היקף שהותם הקטינים אצל האם (בשיעור של כ-70% מהזמן), אני מעמידה את פוטנציאל השתכרותה על סכום של </w:t>
      </w:r>
      <w:r w:rsidRPr="00116BDC">
        <w:rPr>
          <w:rFonts w:ascii="David" w:hAnsi="David" w:cs="David"/>
          <w:sz w:val="24"/>
          <w:szCs w:val="24"/>
          <w:rtl/>
        </w:rPr>
        <w:br/>
        <w:t xml:space="preserve">כ-14,200 ₪ נטו לחודש לכל הפחות, כממוצע שכרה בהתאם לתלושי השכר שצרפה. לכך, יש להוסיף את קצבת הילדים המשולמת לאם מטעם המוסד לביטוח לאומי ובשים לב להיותה מוגדרת כהורה "המשמורן" לצורך קבלת קצבאות על פי הוראות פסק הדין בהליך מתחום האחריות ההורית (תלה"מ 5092-03-21). </w:t>
      </w:r>
    </w:p>
    <w:p w:rsidR="00F12B2B" w:rsidRPr="00116BDC" w:rsidRDefault="00F12B2B" w:rsidP="00F12B2B">
      <w:pPr>
        <w:pStyle w:val="af"/>
        <w:tabs>
          <w:tab w:val="left" w:pos="567"/>
        </w:tabs>
        <w:spacing w:after="0" w:line="360" w:lineRule="auto"/>
        <w:ind w:left="567" w:hanging="567"/>
        <w:jc w:val="both"/>
        <w:rPr>
          <w:rFonts w:ascii="David" w:hAnsi="David" w:cs="David"/>
          <w:sz w:val="24"/>
          <w:szCs w:val="24"/>
        </w:rPr>
      </w:pPr>
    </w:p>
    <w:p w:rsidR="00F12B2B" w:rsidRPr="00116BDC" w:rsidRDefault="00F12B2B" w:rsidP="00F12B2B">
      <w:pPr>
        <w:pStyle w:val="af"/>
        <w:tabs>
          <w:tab w:val="left" w:pos="567"/>
        </w:tabs>
        <w:spacing w:after="0" w:line="360" w:lineRule="auto"/>
        <w:ind w:left="567"/>
        <w:jc w:val="both"/>
        <w:rPr>
          <w:rFonts w:ascii="David" w:hAnsi="David" w:cs="David"/>
          <w:sz w:val="24"/>
          <w:szCs w:val="24"/>
          <w:rtl/>
        </w:rPr>
      </w:pPr>
      <w:r w:rsidRPr="00116BDC">
        <w:rPr>
          <w:rFonts w:ascii="David" w:hAnsi="David" w:cs="David"/>
          <w:sz w:val="24"/>
          <w:szCs w:val="24"/>
          <w:rtl/>
        </w:rPr>
        <w:t xml:space="preserve">על הכנסות אלה, יש להוסיף, כי האם, כמו גם האב, קיבלו את חלקם בתמורת הדירה המשותפת שנמכרה לצד שלישי בהליכי כינוס בסכום של 1,585,000 ₪ (ראו: החלטה מיום 7.6.2023 לאישור עסקת מכר הדירה בתלה"מ 47673-03-21), שיתווסף להונם האישי. בהקשר זה יצוין, כי בהתאם לפסק דינו של בית הדין הרבני מיום 28.2.2022 נפסק לאם סכום של 120,000 ₪ בגין כתובתה והוטל עיקול על חלקו של האב בדירת הצדדים לשם הבטחת החיוב. </w:t>
      </w:r>
    </w:p>
    <w:p w:rsidR="00F12B2B" w:rsidRPr="00116BDC" w:rsidRDefault="00F12B2B" w:rsidP="00F12B2B">
      <w:pPr>
        <w:pStyle w:val="af"/>
        <w:tabs>
          <w:tab w:val="left" w:pos="567"/>
        </w:tabs>
        <w:spacing w:after="0" w:line="360" w:lineRule="auto"/>
        <w:ind w:left="567" w:hanging="567"/>
        <w:jc w:val="both"/>
        <w:rPr>
          <w:rFonts w:ascii="David" w:hAnsi="David" w:cs="David"/>
          <w:sz w:val="24"/>
          <w:szCs w:val="24"/>
          <w:rtl/>
        </w:rPr>
      </w:pPr>
    </w:p>
    <w:p w:rsidR="00F12B2B" w:rsidRPr="00116BDC" w:rsidRDefault="00F12B2B" w:rsidP="00F12B2B">
      <w:pPr>
        <w:pStyle w:val="af"/>
        <w:numPr>
          <w:ilvl w:val="0"/>
          <w:numId w:val="1"/>
        </w:numPr>
        <w:tabs>
          <w:tab w:val="left" w:pos="567"/>
        </w:tabs>
        <w:spacing w:after="0" w:line="360" w:lineRule="auto"/>
        <w:ind w:left="567" w:hanging="567"/>
        <w:jc w:val="both"/>
        <w:rPr>
          <w:rFonts w:ascii="David" w:hAnsi="David" w:cs="David"/>
          <w:sz w:val="24"/>
          <w:szCs w:val="24"/>
        </w:rPr>
      </w:pPr>
      <w:r w:rsidRPr="00116BDC">
        <w:rPr>
          <w:rFonts w:ascii="David" w:hAnsi="David" w:cs="David"/>
          <w:sz w:val="24"/>
          <w:szCs w:val="24"/>
          <w:rtl/>
        </w:rPr>
        <w:lastRenderedPageBreak/>
        <w:t xml:space="preserve">אשר להוצאותיה, בתצהיר עדותה הראשית, טוענת האם כי לכשתידרש לצאת למדור שכור בעקבות מכירת הדירה המשותפת, הוצאות המדור צפויות לעמוד על כ-5,000 ₪ לחודש דמי שכירות בגין דירה בעלת מאפיינים דומים. בסיכומיה ציינה האם, כי מאז חודש אוגוסט 2023 היא נושאת בדמי שכירות בסכום של 4,500 ₪ לחודש עת בינתיים היא נותרה להתגורר עם הקטינים בתנאי שכירות בדירה המשותפת שנמכרה לצד שלישי. </w:t>
      </w:r>
    </w:p>
    <w:p w:rsidR="00F12B2B" w:rsidRPr="00116BDC" w:rsidRDefault="00F12B2B" w:rsidP="00F12B2B">
      <w:pPr>
        <w:pStyle w:val="af"/>
        <w:tabs>
          <w:tab w:val="left" w:pos="567"/>
        </w:tabs>
        <w:spacing w:after="0" w:line="360" w:lineRule="auto"/>
        <w:ind w:left="567" w:hanging="567"/>
        <w:jc w:val="both"/>
        <w:rPr>
          <w:rFonts w:ascii="David" w:hAnsi="David" w:cs="David"/>
          <w:sz w:val="24"/>
          <w:szCs w:val="24"/>
        </w:rPr>
      </w:pPr>
    </w:p>
    <w:p w:rsidR="00F12B2B" w:rsidRPr="00116BDC" w:rsidRDefault="00F12B2B" w:rsidP="00F12B2B">
      <w:pPr>
        <w:pStyle w:val="af"/>
        <w:tabs>
          <w:tab w:val="left" w:pos="567"/>
        </w:tabs>
        <w:spacing w:after="0" w:line="360" w:lineRule="auto"/>
        <w:ind w:left="567" w:hanging="567"/>
        <w:jc w:val="both"/>
        <w:rPr>
          <w:rFonts w:ascii="David" w:hAnsi="David" w:cs="David"/>
          <w:sz w:val="24"/>
          <w:szCs w:val="24"/>
          <w:rtl/>
        </w:rPr>
      </w:pPr>
      <w:r w:rsidRPr="00116BDC">
        <w:rPr>
          <w:rFonts w:ascii="David" w:hAnsi="David" w:cs="David"/>
          <w:sz w:val="24"/>
          <w:szCs w:val="24"/>
          <w:rtl/>
        </w:rPr>
        <w:tab/>
        <w:t xml:space="preserve">בסיכומיו, ביקש האב לדחות טענת האם למגורים בשכירות, עת לא הציגה ראיה כלשהי למגוריה בשכירות ואף לא עתרה לסעד זה בתביעתה. </w:t>
      </w:r>
    </w:p>
    <w:p w:rsidR="00F12B2B" w:rsidRPr="00116BDC" w:rsidRDefault="00F12B2B" w:rsidP="00F12B2B">
      <w:pPr>
        <w:pStyle w:val="af"/>
        <w:tabs>
          <w:tab w:val="left" w:pos="567"/>
        </w:tabs>
        <w:spacing w:after="0" w:line="360" w:lineRule="auto"/>
        <w:ind w:left="567" w:hanging="567"/>
        <w:jc w:val="both"/>
        <w:rPr>
          <w:rFonts w:ascii="David" w:hAnsi="David" w:cs="David"/>
          <w:sz w:val="24"/>
          <w:szCs w:val="24"/>
        </w:rPr>
      </w:pPr>
    </w:p>
    <w:p w:rsidR="00F12B2B" w:rsidRPr="00116BDC" w:rsidRDefault="00F12B2B" w:rsidP="00F12B2B">
      <w:pPr>
        <w:pStyle w:val="af"/>
        <w:tabs>
          <w:tab w:val="left" w:pos="567"/>
        </w:tabs>
        <w:spacing w:after="0" w:line="360" w:lineRule="auto"/>
        <w:ind w:left="567" w:hanging="567"/>
        <w:jc w:val="both"/>
        <w:rPr>
          <w:rFonts w:ascii="David" w:hAnsi="David" w:cs="David"/>
          <w:sz w:val="24"/>
          <w:szCs w:val="24"/>
          <w:rtl/>
        </w:rPr>
      </w:pPr>
      <w:r w:rsidRPr="00116BDC">
        <w:rPr>
          <w:rFonts w:ascii="David" w:hAnsi="David" w:cs="David"/>
          <w:sz w:val="24"/>
          <w:szCs w:val="24"/>
          <w:rtl/>
        </w:rPr>
        <w:tab/>
        <w:t>לא מצאתי לקבל טענת האב כאמור. אמנם, האם לא צרפה הסכם שכירות בדבר תשלום דמי שכירות לרוכשי הדירה אולם דומה, כי אין חולק שהיא עודנה מתגוררת בדירה עם הקטינים וזה אך סביר, כי מגוריה בדירה כרוכים בתשלום דמי שכירות. ממילא, תצהיר עדותה של האם הוגש בעת שהדירה הי</w:t>
      </w:r>
      <w:r w:rsidR="00E731CA">
        <w:rPr>
          <w:rFonts w:ascii="David" w:hAnsi="David" w:cs="David" w:hint="cs"/>
          <w:sz w:val="24"/>
          <w:szCs w:val="24"/>
          <w:rtl/>
        </w:rPr>
        <w:t>י</w:t>
      </w:r>
      <w:r w:rsidRPr="00116BDC">
        <w:rPr>
          <w:rFonts w:ascii="David" w:hAnsi="David" w:cs="David"/>
          <w:sz w:val="24"/>
          <w:szCs w:val="24"/>
          <w:rtl/>
        </w:rPr>
        <w:t xml:space="preserve">תה בבעלות הצדדים ובטרם הועברו הזכויות בדירה לידי צד שלישי, באופן שיש באמור משום טעם מניח את הדעת לאי צירוף אסמכתה רלוונטית. </w:t>
      </w:r>
    </w:p>
    <w:p w:rsidR="00F12B2B" w:rsidRPr="00116BDC" w:rsidRDefault="00F12B2B" w:rsidP="00F12B2B">
      <w:pPr>
        <w:pStyle w:val="af"/>
        <w:tabs>
          <w:tab w:val="left" w:pos="567"/>
        </w:tabs>
        <w:spacing w:after="0" w:line="360" w:lineRule="auto"/>
        <w:ind w:left="567" w:hanging="567"/>
        <w:jc w:val="both"/>
        <w:rPr>
          <w:rFonts w:ascii="David" w:hAnsi="David" w:cs="David"/>
          <w:sz w:val="24"/>
          <w:szCs w:val="24"/>
          <w:rtl/>
        </w:rPr>
      </w:pPr>
    </w:p>
    <w:p w:rsidR="00F12B2B" w:rsidRPr="00116BDC" w:rsidRDefault="00F12B2B" w:rsidP="00F12B2B">
      <w:pPr>
        <w:pStyle w:val="af"/>
        <w:tabs>
          <w:tab w:val="left" w:pos="567"/>
        </w:tabs>
        <w:spacing w:after="0" w:line="360" w:lineRule="auto"/>
        <w:ind w:left="567" w:hanging="567"/>
        <w:jc w:val="both"/>
        <w:rPr>
          <w:rFonts w:ascii="David" w:hAnsi="David" w:cs="David"/>
          <w:sz w:val="24"/>
          <w:szCs w:val="24"/>
          <w:rtl/>
        </w:rPr>
      </w:pPr>
      <w:r w:rsidRPr="00116BDC">
        <w:rPr>
          <w:rFonts w:ascii="David" w:hAnsi="David" w:cs="David"/>
          <w:sz w:val="24"/>
          <w:szCs w:val="24"/>
          <w:rtl/>
        </w:rPr>
        <w:tab/>
        <w:t>אשר לדמי השכירות הנטענים – כפי שיפורט להלן בפרק הדן בהוצאות המדור ואחזקתו, מצאתי להעמיד גובה דמי השכירות בסכום של 4,500 ₪, כפי טענת האם.</w:t>
      </w:r>
    </w:p>
    <w:p w:rsidR="00F12B2B" w:rsidRPr="00116BDC" w:rsidRDefault="00F12B2B" w:rsidP="00F12B2B">
      <w:pPr>
        <w:pStyle w:val="af"/>
        <w:tabs>
          <w:tab w:val="left" w:pos="567"/>
        </w:tabs>
        <w:spacing w:after="0" w:line="360" w:lineRule="auto"/>
        <w:ind w:left="567" w:hanging="567"/>
        <w:jc w:val="both"/>
        <w:rPr>
          <w:rFonts w:ascii="David" w:hAnsi="David" w:cs="David"/>
          <w:sz w:val="24"/>
          <w:szCs w:val="24"/>
          <w:rtl/>
        </w:rPr>
      </w:pPr>
    </w:p>
    <w:p w:rsidR="00F12B2B" w:rsidRPr="00116BDC" w:rsidRDefault="00F12B2B" w:rsidP="00F12B2B">
      <w:pPr>
        <w:pStyle w:val="af"/>
        <w:numPr>
          <w:ilvl w:val="0"/>
          <w:numId w:val="1"/>
        </w:numPr>
        <w:tabs>
          <w:tab w:val="left" w:pos="651"/>
        </w:tabs>
        <w:spacing w:after="0" w:line="360" w:lineRule="auto"/>
        <w:ind w:left="567" w:hanging="567"/>
        <w:jc w:val="both"/>
        <w:rPr>
          <w:rFonts w:ascii="David" w:hAnsi="David" w:cs="David"/>
          <w:sz w:val="24"/>
          <w:szCs w:val="24"/>
          <w:rtl/>
        </w:rPr>
      </w:pPr>
      <w:r w:rsidRPr="00116BDC">
        <w:rPr>
          <w:rFonts w:ascii="David" w:hAnsi="David" w:cs="David"/>
          <w:sz w:val="24"/>
          <w:szCs w:val="24"/>
          <w:rtl/>
        </w:rPr>
        <w:t>בהביאי בחשבון מכלול נתונים זה יוצא, שהכנסתה הפנויה של האם (בניכוי הוצאות מדור) עומדת על כ- 9,700</w:t>
      </w:r>
      <w:r w:rsidRPr="00116BDC">
        <w:rPr>
          <w:rStyle w:val="af0"/>
          <w:rFonts w:ascii="David" w:hAnsi="David" w:cs="David"/>
          <w:sz w:val="24"/>
          <w:szCs w:val="24"/>
          <w:rtl/>
        </w:rPr>
        <w:footnoteReference w:id="1"/>
      </w:r>
      <w:r w:rsidRPr="00116BDC">
        <w:rPr>
          <w:rFonts w:ascii="David" w:hAnsi="David" w:cs="David"/>
          <w:sz w:val="24"/>
          <w:szCs w:val="24"/>
          <w:rtl/>
        </w:rPr>
        <w:t xml:space="preserve"> ₪ לחודש. לכך, יש להוסיף את קצבת הילדים בסכום של 591 ₪ (כמשתקף מדפי חשבון עו"ש שצרפה האם לתצהיר עדותה הראשית, נספח "ג").</w:t>
      </w:r>
    </w:p>
    <w:p w:rsidR="00F12B2B" w:rsidRPr="00116BDC" w:rsidRDefault="00F12B2B" w:rsidP="00F12B2B">
      <w:pPr>
        <w:pStyle w:val="af"/>
        <w:tabs>
          <w:tab w:val="left" w:pos="567"/>
        </w:tabs>
        <w:spacing w:after="0" w:line="360" w:lineRule="auto"/>
        <w:ind w:left="567" w:hanging="567"/>
        <w:jc w:val="both"/>
        <w:rPr>
          <w:rFonts w:ascii="David" w:hAnsi="David" w:cs="David"/>
          <w:sz w:val="24"/>
          <w:szCs w:val="24"/>
          <w:rtl/>
        </w:rPr>
      </w:pPr>
    </w:p>
    <w:p w:rsidR="00F12B2B" w:rsidRPr="00116BDC" w:rsidRDefault="00F12B2B" w:rsidP="00F12B2B">
      <w:pPr>
        <w:tabs>
          <w:tab w:val="left" w:pos="567"/>
        </w:tabs>
        <w:spacing w:line="360" w:lineRule="auto"/>
        <w:ind w:left="567" w:hanging="567"/>
        <w:jc w:val="both"/>
        <w:rPr>
          <w:rFonts w:ascii="David" w:hAnsi="David"/>
          <w:rtl/>
        </w:rPr>
      </w:pPr>
    </w:p>
    <w:p w:rsidR="00F12B2B" w:rsidRPr="00116BDC" w:rsidRDefault="00F12B2B" w:rsidP="00F12B2B">
      <w:pPr>
        <w:tabs>
          <w:tab w:val="left" w:pos="567"/>
        </w:tabs>
        <w:spacing w:line="360" w:lineRule="auto"/>
        <w:ind w:left="567" w:hanging="567"/>
        <w:jc w:val="both"/>
        <w:rPr>
          <w:rFonts w:ascii="David" w:hAnsi="David"/>
          <w:b/>
          <w:bCs/>
          <w:u w:val="single"/>
          <w:rtl/>
        </w:rPr>
      </w:pPr>
      <w:r w:rsidRPr="00116BDC">
        <w:rPr>
          <w:rFonts w:ascii="David" w:hAnsi="David"/>
          <w:b/>
          <w:bCs/>
          <w:u w:val="single"/>
          <w:rtl/>
        </w:rPr>
        <w:t xml:space="preserve">יכולותיו הכלכליות של האב </w:t>
      </w:r>
    </w:p>
    <w:p w:rsidR="006E70AD" w:rsidRPr="00116BDC" w:rsidRDefault="006E70AD" w:rsidP="00F12B2B">
      <w:pPr>
        <w:tabs>
          <w:tab w:val="left" w:pos="567"/>
        </w:tabs>
        <w:spacing w:line="360" w:lineRule="auto"/>
        <w:ind w:left="567" w:hanging="567"/>
        <w:jc w:val="both"/>
        <w:rPr>
          <w:rFonts w:ascii="David" w:hAnsi="David"/>
          <w:b/>
          <w:bCs/>
          <w:u w:val="single"/>
          <w:rtl/>
        </w:rPr>
      </w:pPr>
    </w:p>
    <w:p w:rsidR="00F12B2B" w:rsidRPr="00116BDC" w:rsidRDefault="00E731CA" w:rsidP="00E731CA">
      <w:pPr>
        <w:pStyle w:val="af"/>
        <w:numPr>
          <w:ilvl w:val="0"/>
          <w:numId w:val="1"/>
        </w:numPr>
        <w:tabs>
          <w:tab w:val="left" w:pos="567"/>
        </w:tabs>
        <w:spacing w:after="0" w:line="360" w:lineRule="auto"/>
        <w:ind w:left="567" w:hanging="567"/>
        <w:jc w:val="both"/>
        <w:rPr>
          <w:rFonts w:ascii="David" w:hAnsi="David" w:cs="David"/>
          <w:b/>
          <w:bCs/>
          <w:sz w:val="24"/>
          <w:szCs w:val="24"/>
          <w:u w:val="single"/>
          <w:rtl/>
        </w:rPr>
      </w:pPr>
      <w:r>
        <w:rPr>
          <w:rFonts w:ascii="David" w:hAnsi="David" w:cs="David"/>
          <w:sz w:val="24"/>
          <w:szCs w:val="24"/>
          <w:rtl/>
        </w:rPr>
        <w:t xml:space="preserve">האב עובד במפעל </w:t>
      </w:r>
      <w:r>
        <w:rPr>
          <w:rFonts w:ascii="David" w:hAnsi="David" w:cs="David" w:hint="cs"/>
          <w:sz w:val="24"/>
          <w:szCs w:val="24"/>
          <w:rtl/>
        </w:rPr>
        <w:t>***</w:t>
      </w:r>
      <w:r w:rsidR="00F12B2B" w:rsidRPr="00116BDC">
        <w:rPr>
          <w:rFonts w:ascii="David" w:hAnsi="David" w:cs="David"/>
          <w:sz w:val="24"/>
          <w:szCs w:val="24"/>
          <w:rtl/>
        </w:rPr>
        <w:t xml:space="preserve"> מזה כ-12 שנים כפועל ייצור.  </w:t>
      </w:r>
    </w:p>
    <w:p w:rsidR="00F12B2B" w:rsidRPr="00116BDC" w:rsidRDefault="00F12B2B" w:rsidP="00F12B2B">
      <w:pPr>
        <w:pStyle w:val="af"/>
        <w:tabs>
          <w:tab w:val="left" w:pos="567"/>
        </w:tabs>
        <w:spacing w:after="0" w:line="360" w:lineRule="auto"/>
        <w:ind w:left="567" w:hanging="567"/>
        <w:jc w:val="both"/>
        <w:rPr>
          <w:rFonts w:ascii="David" w:hAnsi="David" w:cs="David"/>
          <w:b/>
          <w:bCs/>
          <w:sz w:val="24"/>
          <w:szCs w:val="24"/>
          <w:u w:val="single"/>
        </w:rPr>
      </w:pPr>
    </w:p>
    <w:p w:rsidR="00F12B2B" w:rsidRPr="00116BDC" w:rsidRDefault="00F12B2B" w:rsidP="00F12B2B">
      <w:pPr>
        <w:pStyle w:val="af"/>
        <w:numPr>
          <w:ilvl w:val="0"/>
          <w:numId w:val="1"/>
        </w:numPr>
        <w:tabs>
          <w:tab w:val="left" w:pos="567"/>
        </w:tabs>
        <w:spacing w:after="0" w:line="360" w:lineRule="auto"/>
        <w:ind w:left="567" w:hanging="567"/>
        <w:jc w:val="both"/>
        <w:rPr>
          <w:rFonts w:ascii="David" w:hAnsi="David" w:cs="David"/>
          <w:b/>
          <w:bCs/>
          <w:sz w:val="24"/>
          <w:szCs w:val="24"/>
          <w:u w:val="single"/>
        </w:rPr>
      </w:pPr>
      <w:r w:rsidRPr="00116BDC">
        <w:rPr>
          <w:rFonts w:ascii="David" w:hAnsi="David" w:cs="David"/>
          <w:sz w:val="24"/>
          <w:szCs w:val="24"/>
          <w:rtl/>
        </w:rPr>
        <w:t xml:space="preserve">בתצהיר עדותו הראשית טען האב לשכר בסכום של כ-8,000 ₪ לחודש בממוצע ובסיכומיו העמיד סכום זה על שכר נטו בהיקף של משרה מלאה (100%). </w:t>
      </w:r>
    </w:p>
    <w:p w:rsidR="00F12B2B" w:rsidRPr="00116BDC" w:rsidRDefault="00F12B2B" w:rsidP="00F12B2B">
      <w:pPr>
        <w:pStyle w:val="af"/>
        <w:tabs>
          <w:tab w:val="left" w:pos="567"/>
        </w:tabs>
        <w:spacing w:after="0" w:line="360" w:lineRule="auto"/>
        <w:ind w:left="567" w:hanging="567"/>
        <w:jc w:val="both"/>
        <w:rPr>
          <w:rFonts w:ascii="David" w:hAnsi="David" w:cs="David"/>
          <w:b/>
          <w:bCs/>
          <w:sz w:val="24"/>
          <w:szCs w:val="24"/>
          <w:u w:val="single"/>
          <w:rtl/>
        </w:rPr>
      </w:pPr>
    </w:p>
    <w:p w:rsidR="00F12B2B" w:rsidRPr="00116BDC" w:rsidRDefault="00F12B2B" w:rsidP="00F12B2B">
      <w:pPr>
        <w:pStyle w:val="af"/>
        <w:numPr>
          <w:ilvl w:val="0"/>
          <w:numId w:val="1"/>
        </w:numPr>
        <w:tabs>
          <w:tab w:val="left" w:pos="567"/>
        </w:tabs>
        <w:spacing w:after="0" w:line="360" w:lineRule="auto"/>
        <w:ind w:left="567" w:hanging="567"/>
        <w:jc w:val="both"/>
        <w:rPr>
          <w:rFonts w:ascii="David" w:hAnsi="David" w:cs="David"/>
          <w:sz w:val="24"/>
          <w:szCs w:val="24"/>
        </w:rPr>
      </w:pPr>
      <w:r w:rsidRPr="00116BDC">
        <w:rPr>
          <w:rFonts w:ascii="David" w:hAnsi="David" w:cs="David"/>
          <w:sz w:val="24"/>
          <w:szCs w:val="24"/>
          <w:rtl/>
        </w:rPr>
        <w:t xml:space="preserve">האם טוענת בסיכומיה כי הכנסת האב מעבודתו הינה מעל 10,000 ₪ לחודש והוא עושה כל שלאל ידו על מנת להפחית את הכנסתו, בין בדרך של צמצום שעות נוספות ובין בדרך של שינוי משמרות עבודה. כן טוענת האם, להכנסה נוספת של האב מהשכרת דירה שקיבל בירושה בסכום מוערך של 2,500 ₪ לחודש, לכל הפחות. </w:t>
      </w:r>
    </w:p>
    <w:p w:rsidR="00F12B2B" w:rsidRPr="00116BDC" w:rsidRDefault="00F12B2B" w:rsidP="00F12B2B">
      <w:pPr>
        <w:pStyle w:val="af"/>
        <w:numPr>
          <w:ilvl w:val="0"/>
          <w:numId w:val="1"/>
        </w:numPr>
        <w:tabs>
          <w:tab w:val="left" w:pos="567"/>
        </w:tabs>
        <w:spacing w:after="0" w:line="360" w:lineRule="auto"/>
        <w:ind w:left="567" w:hanging="567"/>
        <w:jc w:val="both"/>
        <w:rPr>
          <w:rFonts w:ascii="David" w:hAnsi="David" w:cs="David"/>
          <w:b/>
          <w:bCs/>
          <w:sz w:val="24"/>
          <w:szCs w:val="24"/>
          <w:u w:val="single"/>
          <w:rtl/>
        </w:rPr>
      </w:pPr>
      <w:r w:rsidRPr="00116BDC">
        <w:rPr>
          <w:rFonts w:ascii="David" w:hAnsi="David" w:cs="David"/>
          <w:sz w:val="24"/>
          <w:szCs w:val="24"/>
          <w:rtl/>
        </w:rPr>
        <w:lastRenderedPageBreak/>
        <w:t xml:space="preserve">יצוין, כי בהחלטה למזונות זמניים דלעיל פוטנציאל השתכרותו של האב הועמד על סך של 10,200 ₪ לחודש, בהתחשב בתלושי שכר שהוצגו לחודשים 3/2020 עד 2/2021 (ר' סעיף 4 להחלטה). </w:t>
      </w:r>
    </w:p>
    <w:p w:rsidR="00F12B2B" w:rsidRPr="00116BDC" w:rsidRDefault="00F12B2B" w:rsidP="00F12B2B">
      <w:pPr>
        <w:pStyle w:val="af"/>
        <w:tabs>
          <w:tab w:val="left" w:pos="567"/>
        </w:tabs>
        <w:spacing w:after="0" w:line="360" w:lineRule="auto"/>
        <w:ind w:left="567" w:hanging="567"/>
        <w:jc w:val="both"/>
        <w:rPr>
          <w:rFonts w:ascii="David" w:hAnsi="David" w:cs="David"/>
          <w:b/>
          <w:bCs/>
          <w:sz w:val="24"/>
          <w:szCs w:val="24"/>
          <w:u w:val="single"/>
          <w:rtl/>
        </w:rPr>
      </w:pPr>
    </w:p>
    <w:p w:rsidR="00F12B2B" w:rsidRPr="00116BDC" w:rsidRDefault="00F12B2B" w:rsidP="00F12B2B">
      <w:pPr>
        <w:pStyle w:val="af"/>
        <w:numPr>
          <w:ilvl w:val="0"/>
          <w:numId w:val="1"/>
        </w:numPr>
        <w:tabs>
          <w:tab w:val="left" w:pos="567"/>
        </w:tabs>
        <w:spacing w:after="0" w:line="360" w:lineRule="auto"/>
        <w:ind w:left="567" w:hanging="567"/>
        <w:jc w:val="both"/>
        <w:rPr>
          <w:rFonts w:ascii="David" w:hAnsi="David" w:cs="David"/>
          <w:b/>
          <w:bCs/>
          <w:sz w:val="24"/>
          <w:szCs w:val="24"/>
          <w:u w:val="single"/>
        </w:rPr>
      </w:pPr>
      <w:r w:rsidRPr="00116BDC">
        <w:rPr>
          <w:rFonts w:ascii="David" w:hAnsi="David" w:cs="David"/>
          <w:sz w:val="24"/>
          <w:szCs w:val="24"/>
          <w:rtl/>
        </w:rPr>
        <w:t xml:space="preserve">על פי תלושי שכר של האב שצרף לתצהיר עדותו הראשית לחודשים 10/2021 עד 3/2022 ולחודשים 6/22 עד 10/2022, עמד ממוצע שכרו של האב על 11,147 ₪ נטו לחודש (בהפחתת ניכויי חובה – מיסים). יצוין, כי האב הצהיר בעדותו שבחודשים מרץ-אפריל 2022 שכרו עוקל לטובת חוב מזונות (ראו: עמוד 19 שורה 34 לפרוטוקול) וכי היה "ללא שכר בחודשים מאי עד יולי" (ר' עמוד 20, שורות 2-1 לפרוטוקול). </w:t>
      </w:r>
    </w:p>
    <w:p w:rsidR="00F12B2B" w:rsidRPr="00116BDC" w:rsidRDefault="00F12B2B" w:rsidP="00F12B2B">
      <w:pPr>
        <w:pStyle w:val="af"/>
        <w:rPr>
          <w:rFonts w:ascii="David" w:hAnsi="David" w:cs="David"/>
          <w:b/>
          <w:bCs/>
          <w:sz w:val="24"/>
          <w:szCs w:val="24"/>
          <w:u w:val="single"/>
        </w:rPr>
      </w:pPr>
    </w:p>
    <w:p w:rsidR="00F12B2B" w:rsidRPr="00116BDC" w:rsidRDefault="00F12B2B" w:rsidP="00E731CA">
      <w:pPr>
        <w:pStyle w:val="af"/>
        <w:numPr>
          <w:ilvl w:val="0"/>
          <w:numId w:val="1"/>
        </w:numPr>
        <w:tabs>
          <w:tab w:val="left" w:pos="567"/>
        </w:tabs>
        <w:spacing w:after="0" w:line="360" w:lineRule="auto"/>
        <w:ind w:left="567" w:hanging="567"/>
        <w:jc w:val="both"/>
        <w:rPr>
          <w:rFonts w:ascii="David" w:hAnsi="David" w:cs="David"/>
          <w:sz w:val="24"/>
          <w:szCs w:val="24"/>
          <w:rtl/>
        </w:rPr>
      </w:pPr>
      <w:r w:rsidRPr="00116BDC">
        <w:rPr>
          <w:rFonts w:ascii="David" w:hAnsi="David" w:cs="David"/>
          <w:sz w:val="24"/>
          <w:szCs w:val="24"/>
          <w:rtl/>
        </w:rPr>
        <w:t xml:space="preserve">על יסוד הראיות שהונחו לפני ולאור עדותו של האב, לא מצאתי לקבל טענת האם כי האב פעל להפחתת הכנסתו, לַמִּצְעָר לא באופן מכוון, לצורך ניהול ההליך דנן. מעדותו של האב עולה כי הוא עובד בשעות נוספות וכן במשמרות בימי שישי (ר' עמ' עמ' 18, שורות 15-12 לפרוטוקול וכן עמ' 17, שורות 31-29 לפרוטוקול). עדותו זו של האב נתמכת גם בתלושי השכר שלו, מהם משתקף כי האב מבצע עבודה בשעות נוספות ומשמרות בימי שישי. ככל שאכן היה שינוי בהיקף עבודתו של האב – ולא התרשמתי כי מדובר בשינוי מהותי – הרי ששינוי זה נבע מאילוצי עבודה (על רקע מעברו לעבוד בצוות אחזקה במחלקת </w:t>
      </w:r>
      <w:r w:rsidR="00E731CA">
        <w:rPr>
          <w:rFonts w:ascii="David" w:hAnsi="David" w:cs="David" w:hint="cs"/>
          <w:sz w:val="24"/>
          <w:szCs w:val="24"/>
          <w:rtl/>
        </w:rPr>
        <w:t>***</w:t>
      </w:r>
      <w:r w:rsidRPr="00116BDC">
        <w:rPr>
          <w:rFonts w:ascii="David" w:hAnsi="David" w:cs="David"/>
          <w:sz w:val="24"/>
          <w:szCs w:val="24"/>
          <w:rtl/>
        </w:rPr>
        <w:t xml:space="preserve"> תחת עבודתו בצוות אחזקה במחלקת </w:t>
      </w:r>
      <w:r w:rsidR="00E731CA">
        <w:rPr>
          <w:rFonts w:ascii="David" w:hAnsi="David" w:cs="David" w:hint="cs"/>
          <w:sz w:val="24"/>
          <w:szCs w:val="24"/>
          <w:rtl/>
        </w:rPr>
        <w:t>***</w:t>
      </w:r>
      <w:r w:rsidRPr="00116BDC">
        <w:rPr>
          <w:rFonts w:ascii="David" w:hAnsi="David" w:cs="David"/>
          <w:sz w:val="24"/>
          <w:szCs w:val="24"/>
          <w:rtl/>
        </w:rPr>
        <w:t xml:space="preserve">) ובהתאם לתנאי ההעסקה במחלקה החדשה (ר' עמ' 17 שורות 36-35 ועמ' 18, שורות 5-1 לפרוטוקול). </w:t>
      </w:r>
    </w:p>
    <w:p w:rsidR="00F12B2B" w:rsidRPr="00116BDC" w:rsidRDefault="00F12B2B" w:rsidP="00F12B2B">
      <w:pPr>
        <w:pStyle w:val="af"/>
        <w:rPr>
          <w:rFonts w:ascii="David" w:hAnsi="David" w:cs="David"/>
          <w:sz w:val="24"/>
          <w:szCs w:val="24"/>
        </w:rPr>
      </w:pPr>
    </w:p>
    <w:p w:rsidR="00F12B2B" w:rsidRPr="00116BDC" w:rsidRDefault="00F12B2B" w:rsidP="00F12B2B">
      <w:pPr>
        <w:pStyle w:val="af"/>
        <w:numPr>
          <w:ilvl w:val="0"/>
          <w:numId w:val="1"/>
        </w:numPr>
        <w:tabs>
          <w:tab w:val="left" w:pos="567"/>
        </w:tabs>
        <w:spacing w:after="0" w:line="360" w:lineRule="auto"/>
        <w:ind w:left="567" w:hanging="567"/>
        <w:jc w:val="both"/>
        <w:rPr>
          <w:rFonts w:ascii="David" w:hAnsi="David" w:cs="David"/>
          <w:sz w:val="24"/>
          <w:szCs w:val="24"/>
          <w:rtl/>
        </w:rPr>
      </w:pPr>
      <w:r w:rsidRPr="00116BDC">
        <w:rPr>
          <w:rFonts w:ascii="David" w:hAnsi="David" w:cs="David"/>
          <w:sz w:val="24"/>
          <w:szCs w:val="24"/>
          <w:rtl/>
        </w:rPr>
        <w:t xml:space="preserve">מכל מקום, שעה שממילא מצאתי להעמיד ממוצע שכר עבודתו של האב, על פי תלושי השכר שהוצגו, בסכום של כ-11,150 ₪ לחודש; בשים לב לכך כי מעיון בתלושי השכר שצורפו לתצהיר עדותו הראשית של האב בהשוואה לתלושי השכר שצורפו לתגובה למזונות זמניים משתקפת עלייה בשכר; הואיל ולאור עדותו של האב, עולה כי הוא עובד במשרה מלאה וכן בשעות נוספות ובמשמרות, לא מצאתי כי עלה בידי האם להוכיח טענתה בדבר הפחתת שכר עבודתו. </w:t>
      </w:r>
    </w:p>
    <w:p w:rsidR="00F12B2B" w:rsidRPr="00116BDC" w:rsidRDefault="00F12B2B" w:rsidP="00F12B2B">
      <w:pPr>
        <w:pStyle w:val="af"/>
        <w:rPr>
          <w:rFonts w:ascii="David" w:hAnsi="David" w:cs="David"/>
          <w:sz w:val="24"/>
          <w:szCs w:val="24"/>
        </w:rPr>
      </w:pPr>
    </w:p>
    <w:p w:rsidR="00F12B2B" w:rsidRPr="00116BDC" w:rsidRDefault="00F12B2B" w:rsidP="00F12B2B">
      <w:pPr>
        <w:pStyle w:val="af"/>
        <w:tabs>
          <w:tab w:val="left" w:pos="567"/>
        </w:tabs>
        <w:spacing w:after="0" w:line="360" w:lineRule="auto"/>
        <w:ind w:left="567"/>
        <w:jc w:val="both"/>
        <w:rPr>
          <w:rFonts w:ascii="David" w:hAnsi="David" w:cs="David"/>
          <w:sz w:val="24"/>
          <w:szCs w:val="24"/>
          <w:rtl/>
        </w:rPr>
      </w:pPr>
      <w:r w:rsidRPr="00116BDC">
        <w:rPr>
          <w:rFonts w:ascii="David" w:hAnsi="David" w:cs="David"/>
          <w:sz w:val="24"/>
          <w:szCs w:val="24"/>
          <w:rtl/>
        </w:rPr>
        <w:t>לעניין טענת האם הכרוכה אחר אי מיצוי פוטנציאל השתכרותו של האב, הרי שלאור נתוניו האישיים של האב כעובד אחזקה במפעל (ר' נתונים אישיים בתלוש השכר בו צויין "עיסוק – מכונאי"), העסקתו בהיקף משרה של 100% והיותו חסר השכלה אקדמית – לא מצאתי לקבוע פוטנציאל השתכרות העולה על גובה השתכרותו בפועל.</w:t>
      </w:r>
    </w:p>
    <w:p w:rsidR="00F12B2B" w:rsidRPr="00116BDC" w:rsidRDefault="00F12B2B" w:rsidP="00F12B2B">
      <w:pPr>
        <w:pStyle w:val="af"/>
        <w:tabs>
          <w:tab w:val="left" w:pos="567"/>
        </w:tabs>
        <w:spacing w:after="0" w:line="360" w:lineRule="auto"/>
        <w:ind w:left="567" w:hanging="567"/>
        <w:jc w:val="both"/>
        <w:rPr>
          <w:rFonts w:ascii="David" w:hAnsi="David" w:cs="David"/>
          <w:b/>
          <w:bCs/>
          <w:sz w:val="24"/>
          <w:szCs w:val="24"/>
          <w:u w:val="single"/>
        </w:rPr>
      </w:pPr>
    </w:p>
    <w:p w:rsidR="00F12B2B" w:rsidRPr="00116BDC" w:rsidRDefault="00F12B2B" w:rsidP="00F12B2B">
      <w:pPr>
        <w:pStyle w:val="af"/>
        <w:numPr>
          <w:ilvl w:val="0"/>
          <w:numId w:val="1"/>
        </w:numPr>
        <w:tabs>
          <w:tab w:val="left" w:pos="567"/>
        </w:tabs>
        <w:spacing w:after="0" w:line="360" w:lineRule="auto"/>
        <w:ind w:left="567" w:hanging="567"/>
        <w:jc w:val="both"/>
        <w:rPr>
          <w:rFonts w:ascii="David" w:hAnsi="David" w:cs="David"/>
          <w:sz w:val="24"/>
          <w:szCs w:val="24"/>
          <w:rtl/>
        </w:rPr>
      </w:pPr>
      <w:r w:rsidRPr="00116BDC">
        <w:rPr>
          <w:rFonts w:ascii="David" w:hAnsi="David" w:cs="David"/>
          <w:sz w:val="24"/>
          <w:szCs w:val="24"/>
          <w:rtl/>
        </w:rPr>
        <w:t>אשר לטענת האם בדבר הכנסה נוספת של האב מדמי שכירות, בסך של 2,500 ₪ לפחות, בגין דירה שבבעלותו שאותה ירש מאביו המנוח (המצויה ברח' דרך מצדה 200/18) – התובעת לא הציגה ולו ראשית ראיה ביחס להכנסתו הנטענת של האב מדמי שכירות כאמור, לא ביחס לעצם ההכנסה מדמי שכירות ולא ביחס לגובהה. שעה שהדירה ה</w:t>
      </w:r>
      <w:r w:rsidR="00E731CA">
        <w:rPr>
          <w:rFonts w:ascii="David" w:hAnsi="David" w:cs="David" w:hint="cs"/>
          <w:sz w:val="24"/>
          <w:szCs w:val="24"/>
          <w:rtl/>
        </w:rPr>
        <w:t>י</w:t>
      </w:r>
      <w:r w:rsidRPr="00116BDC">
        <w:rPr>
          <w:rFonts w:ascii="David" w:hAnsi="David" w:cs="David"/>
          <w:sz w:val="24"/>
          <w:szCs w:val="24"/>
          <w:rtl/>
        </w:rPr>
        <w:t>יתה בבעלות הנתבע כבר בתקופת חייהם המשותפים של הצדדים, דומה כי לא הי</w:t>
      </w:r>
      <w:r w:rsidR="00E731CA">
        <w:rPr>
          <w:rFonts w:ascii="David" w:hAnsi="David" w:cs="David" w:hint="cs"/>
          <w:sz w:val="24"/>
          <w:szCs w:val="24"/>
          <w:rtl/>
        </w:rPr>
        <w:t>י</w:t>
      </w:r>
      <w:r w:rsidRPr="00116BDC">
        <w:rPr>
          <w:rFonts w:ascii="David" w:hAnsi="David" w:cs="David"/>
          <w:sz w:val="24"/>
          <w:szCs w:val="24"/>
          <w:rtl/>
        </w:rPr>
        <w:t xml:space="preserve">תה כל מניעה מהצגת אסמכתה מתאימה בדבר </w:t>
      </w:r>
      <w:r w:rsidRPr="00116BDC">
        <w:rPr>
          <w:rFonts w:ascii="David" w:hAnsi="David" w:cs="David"/>
          <w:sz w:val="24"/>
          <w:szCs w:val="24"/>
          <w:rtl/>
        </w:rPr>
        <w:lastRenderedPageBreak/>
        <w:t xml:space="preserve">דמי השכירות שהתקבלו בגין השכרת הדירה, בין אם באמצעות הפקדות לחשבון, בין באמצעות הצגת הסכם שכירות ובין בדרך אחרת. </w:t>
      </w:r>
    </w:p>
    <w:p w:rsidR="00F12B2B" w:rsidRPr="00116BDC" w:rsidRDefault="00F12B2B" w:rsidP="00F12B2B">
      <w:pPr>
        <w:pStyle w:val="af"/>
        <w:tabs>
          <w:tab w:val="left" w:pos="567"/>
        </w:tabs>
        <w:spacing w:after="0" w:line="360" w:lineRule="auto"/>
        <w:ind w:left="567"/>
        <w:jc w:val="both"/>
        <w:rPr>
          <w:rFonts w:ascii="David" w:hAnsi="David" w:cs="David"/>
          <w:sz w:val="24"/>
          <w:szCs w:val="24"/>
        </w:rPr>
      </w:pPr>
    </w:p>
    <w:p w:rsidR="00F12B2B" w:rsidRPr="00116BDC" w:rsidRDefault="00F12B2B" w:rsidP="00F12B2B">
      <w:pPr>
        <w:pStyle w:val="af"/>
        <w:tabs>
          <w:tab w:val="left" w:pos="567"/>
        </w:tabs>
        <w:spacing w:after="0" w:line="360" w:lineRule="auto"/>
        <w:ind w:left="567"/>
        <w:jc w:val="both"/>
        <w:rPr>
          <w:rFonts w:ascii="David" w:hAnsi="David" w:cs="David"/>
          <w:sz w:val="24"/>
          <w:szCs w:val="24"/>
        </w:rPr>
      </w:pPr>
      <w:r w:rsidRPr="00116BDC">
        <w:rPr>
          <w:rFonts w:ascii="David" w:hAnsi="David" w:cs="David"/>
          <w:sz w:val="24"/>
          <w:szCs w:val="24"/>
          <w:rtl/>
        </w:rPr>
        <w:t xml:space="preserve">לצד האמור, שעה שאין חולק, כי הנתבע רשום כבעליה של הדירה (ר' עמ' 16, שורות 23-17 לפרוטוקול); הואיל והנתבע לא הציג כל ראיות לסתור עובדה זו; חרף טענתו, שנטענה באופן סתמי ולקוני, כי יש לו זכויות בדירה יחד עם ארבעת אחיו הנוספים (ר' סעיף 23.3 לתצהירו) ובשים לב לעדותו של הנתבע כי הדירה הושכרה בעבר (ר' עמ' 16, שורות 30-26 לפרוטוקול), מצאתי לקבוע כי לנתבע הכנסה פוטנציאלית מדמי שכירות. </w:t>
      </w:r>
    </w:p>
    <w:p w:rsidR="00F12B2B" w:rsidRPr="00116BDC" w:rsidRDefault="00F12B2B" w:rsidP="00F12B2B">
      <w:pPr>
        <w:pStyle w:val="af"/>
        <w:rPr>
          <w:rFonts w:ascii="David" w:hAnsi="David" w:cs="David"/>
          <w:sz w:val="24"/>
          <w:szCs w:val="24"/>
        </w:rPr>
      </w:pPr>
    </w:p>
    <w:p w:rsidR="00F12B2B" w:rsidRPr="00116BDC" w:rsidRDefault="00F12B2B" w:rsidP="00F12B2B">
      <w:pPr>
        <w:pStyle w:val="af"/>
        <w:tabs>
          <w:tab w:val="left" w:pos="567"/>
        </w:tabs>
        <w:spacing w:after="0" w:line="360" w:lineRule="auto"/>
        <w:ind w:left="567"/>
        <w:jc w:val="both"/>
        <w:rPr>
          <w:rFonts w:ascii="David" w:hAnsi="David" w:cs="David"/>
          <w:sz w:val="24"/>
          <w:szCs w:val="24"/>
          <w:rtl/>
        </w:rPr>
      </w:pPr>
      <w:r w:rsidRPr="00116BDC">
        <w:rPr>
          <w:rFonts w:ascii="David" w:hAnsi="David" w:cs="David"/>
          <w:sz w:val="24"/>
          <w:szCs w:val="24"/>
          <w:rtl/>
        </w:rPr>
        <w:t xml:space="preserve">אשר לגובה דמי השכירות הפוטנציאליים – בהעדר ראיה מטעם התובעת מחד גיסא, ולאור עדותו של הנתבע כי שילם דמי שכירות בסך של כ-7,500 ₪ בגין 4 חודשים וכי השוכר הקודם (יהושוע) "שילם 300 ₪ יותר" מאידך גיסא (עמ' 24, שורות 36-31 לפרוטוקול), מצאתי להעמיד גובה דמי השכירות הראויים בדירה בסכום של כ- 2,175 ₪ לחודש (ובמעוגל - 2,200 ₪ לחודש). </w:t>
      </w:r>
    </w:p>
    <w:p w:rsidR="00F12B2B" w:rsidRPr="00116BDC" w:rsidRDefault="00F12B2B" w:rsidP="00F12B2B">
      <w:pPr>
        <w:tabs>
          <w:tab w:val="left" w:pos="567"/>
        </w:tabs>
        <w:spacing w:line="360" w:lineRule="auto"/>
        <w:jc w:val="both"/>
        <w:rPr>
          <w:rFonts w:ascii="David" w:hAnsi="David"/>
        </w:rPr>
      </w:pPr>
    </w:p>
    <w:p w:rsidR="00F12B2B" w:rsidRPr="00116BDC" w:rsidRDefault="00F12B2B" w:rsidP="00F12B2B">
      <w:pPr>
        <w:pStyle w:val="af"/>
        <w:numPr>
          <w:ilvl w:val="0"/>
          <w:numId w:val="1"/>
        </w:numPr>
        <w:tabs>
          <w:tab w:val="left" w:pos="567"/>
        </w:tabs>
        <w:spacing w:after="0" w:line="360" w:lineRule="auto"/>
        <w:ind w:left="567" w:hanging="567"/>
        <w:jc w:val="both"/>
        <w:rPr>
          <w:rFonts w:ascii="David" w:hAnsi="David" w:cs="David"/>
          <w:b/>
          <w:bCs/>
          <w:sz w:val="24"/>
          <w:szCs w:val="24"/>
          <w:u w:val="single"/>
          <w:rtl/>
        </w:rPr>
      </w:pPr>
      <w:r w:rsidRPr="00116BDC">
        <w:rPr>
          <w:rFonts w:ascii="David" w:hAnsi="David" w:cs="David"/>
          <w:sz w:val="24"/>
          <w:szCs w:val="24"/>
          <w:rtl/>
        </w:rPr>
        <w:t>על ההכנסות לעיל יש להוסיף את חלקו של הנתבע בתמורת הדירה המשותפת שנמכרה לצד שלישי שיתווסף להונו האישי.</w:t>
      </w:r>
    </w:p>
    <w:p w:rsidR="00F12B2B" w:rsidRPr="00116BDC" w:rsidRDefault="00F12B2B" w:rsidP="00F12B2B">
      <w:pPr>
        <w:pStyle w:val="af"/>
        <w:tabs>
          <w:tab w:val="left" w:pos="567"/>
        </w:tabs>
        <w:spacing w:after="0" w:line="360" w:lineRule="auto"/>
        <w:ind w:left="567" w:hanging="567"/>
        <w:jc w:val="both"/>
        <w:rPr>
          <w:rFonts w:ascii="David" w:hAnsi="David" w:cs="David"/>
          <w:sz w:val="24"/>
          <w:szCs w:val="24"/>
        </w:rPr>
      </w:pPr>
    </w:p>
    <w:p w:rsidR="00F12B2B" w:rsidRPr="00116BDC" w:rsidRDefault="00F12B2B" w:rsidP="00F12B2B">
      <w:pPr>
        <w:pStyle w:val="af"/>
        <w:numPr>
          <w:ilvl w:val="0"/>
          <w:numId w:val="1"/>
        </w:numPr>
        <w:tabs>
          <w:tab w:val="left" w:pos="567"/>
        </w:tabs>
        <w:spacing w:after="0" w:line="360" w:lineRule="auto"/>
        <w:ind w:left="567" w:hanging="567"/>
        <w:jc w:val="both"/>
        <w:rPr>
          <w:rFonts w:ascii="David" w:hAnsi="David" w:cs="David"/>
          <w:sz w:val="24"/>
          <w:szCs w:val="24"/>
          <w:rtl/>
        </w:rPr>
      </w:pPr>
      <w:r w:rsidRPr="00116BDC">
        <w:rPr>
          <w:rFonts w:ascii="David" w:hAnsi="David" w:cs="David"/>
          <w:sz w:val="24"/>
          <w:szCs w:val="24"/>
          <w:rtl/>
        </w:rPr>
        <w:t xml:space="preserve">אשר להוצאותיו של האב - הצדדים חלוקים אודות מקום מגורי האב. בעוד שהאב טוען, כי הוא מתגורר בשכירות בדירה שקיבל בירושה, מבקשת האם לטעון כי האב מתגורר בבית אמו ואינו משלם שכירות והוצאות אחזקת מדור. </w:t>
      </w:r>
    </w:p>
    <w:p w:rsidR="00F12B2B" w:rsidRPr="00116BDC" w:rsidRDefault="00F12B2B" w:rsidP="00F12B2B">
      <w:pPr>
        <w:pStyle w:val="af"/>
        <w:rPr>
          <w:rFonts w:ascii="David" w:hAnsi="David" w:cs="David"/>
          <w:sz w:val="24"/>
          <w:szCs w:val="24"/>
        </w:rPr>
      </w:pPr>
    </w:p>
    <w:p w:rsidR="00F12B2B" w:rsidRPr="00116BDC" w:rsidRDefault="00F12B2B" w:rsidP="00F12B2B">
      <w:pPr>
        <w:pStyle w:val="af"/>
        <w:numPr>
          <w:ilvl w:val="0"/>
          <w:numId w:val="1"/>
        </w:numPr>
        <w:tabs>
          <w:tab w:val="left" w:pos="567"/>
        </w:tabs>
        <w:spacing w:after="0" w:line="360" w:lineRule="auto"/>
        <w:ind w:left="567" w:hanging="567"/>
        <w:jc w:val="both"/>
        <w:rPr>
          <w:rFonts w:ascii="David" w:hAnsi="David" w:cs="David"/>
          <w:sz w:val="24"/>
          <w:szCs w:val="24"/>
        </w:rPr>
      </w:pPr>
      <w:r w:rsidRPr="00116BDC">
        <w:rPr>
          <w:rFonts w:ascii="David" w:hAnsi="David" w:cs="David"/>
          <w:sz w:val="24"/>
          <w:szCs w:val="24"/>
          <w:rtl/>
        </w:rPr>
        <w:t>מתוך העדויות שנשמעו לפני, כמו גם מתסקיר העו"ס לסדרי דין ועדותה בהליך הקשור (תלה"מ 5092-03-21), שוכנעתי כי, האב מוסיף ומתגורר בדירת אמו. מעדותה של העו"ס עולה, כי:</w:t>
      </w:r>
    </w:p>
    <w:p w:rsidR="00736047" w:rsidRPr="00116BDC" w:rsidRDefault="00736047" w:rsidP="00736047">
      <w:pPr>
        <w:tabs>
          <w:tab w:val="left" w:pos="567"/>
        </w:tabs>
        <w:spacing w:line="360" w:lineRule="auto"/>
        <w:jc w:val="both"/>
        <w:rPr>
          <w:rFonts w:ascii="David" w:hAnsi="David"/>
          <w:rtl/>
        </w:rPr>
      </w:pPr>
    </w:p>
    <w:p w:rsidR="00F12B2B" w:rsidRPr="00116BDC" w:rsidRDefault="00F12B2B" w:rsidP="00F12B2B">
      <w:pPr>
        <w:pStyle w:val="af"/>
        <w:tabs>
          <w:tab w:val="left" w:pos="567"/>
        </w:tabs>
        <w:spacing w:after="0" w:line="360" w:lineRule="auto"/>
        <w:ind w:left="1134" w:right="567"/>
        <w:jc w:val="both"/>
        <w:rPr>
          <w:rFonts w:ascii="David" w:hAnsi="David" w:cs="David"/>
          <w:b/>
          <w:bCs/>
          <w:sz w:val="24"/>
          <w:szCs w:val="24"/>
          <w:rtl/>
        </w:rPr>
      </w:pPr>
      <w:r w:rsidRPr="00116BDC">
        <w:rPr>
          <w:rFonts w:ascii="David" w:hAnsi="David" w:cs="David"/>
          <w:b/>
          <w:bCs/>
          <w:sz w:val="24"/>
          <w:szCs w:val="24"/>
          <w:rtl/>
        </w:rPr>
        <w:t>"ש. כשנשאלת לגבי ביקור בית שערכת בבית האב, לאיזה בית התכוונת?</w:t>
      </w:r>
    </w:p>
    <w:p w:rsidR="00F12B2B" w:rsidRPr="00116BDC" w:rsidRDefault="00F12B2B" w:rsidP="00F12B2B">
      <w:pPr>
        <w:pStyle w:val="af"/>
        <w:tabs>
          <w:tab w:val="left" w:pos="567"/>
        </w:tabs>
        <w:spacing w:after="0" w:line="360" w:lineRule="auto"/>
        <w:ind w:left="1134" w:right="567"/>
        <w:jc w:val="both"/>
        <w:rPr>
          <w:rFonts w:ascii="David" w:hAnsi="David" w:cs="David"/>
          <w:sz w:val="24"/>
          <w:szCs w:val="24"/>
        </w:rPr>
      </w:pPr>
      <w:r w:rsidRPr="00116BDC">
        <w:rPr>
          <w:rFonts w:ascii="David" w:hAnsi="David" w:cs="David"/>
          <w:sz w:val="24"/>
          <w:szCs w:val="24"/>
          <w:rtl/>
        </w:rPr>
        <w:t>ת.</w:t>
      </w:r>
      <w:r w:rsidRPr="00116BDC">
        <w:rPr>
          <w:rFonts w:ascii="David" w:hAnsi="David" w:cs="David"/>
          <w:sz w:val="24"/>
          <w:szCs w:val="24"/>
          <w:rtl/>
        </w:rPr>
        <w:tab/>
        <w:t>לבית של אמו של האב, שם הוא פוגש את הילדים. שם נערכים הסדרי השהות עם הילדים". (עמ' 20 לפרוט', שורות 33-34).</w:t>
      </w:r>
    </w:p>
    <w:p w:rsidR="00F12B2B" w:rsidRPr="00116BDC" w:rsidRDefault="00F12B2B" w:rsidP="00F12B2B">
      <w:pPr>
        <w:pStyle w:val="af"/>
        <w:tabs>
          <w:tab w:val="left" w:pos="567"/>
        </w:tabs>
        <w:spacing w:after="0" w:line="360" w:lineRule="auto"/>
        <w:ind w:left="567"/>
        <w:jc w:val="both"/>
        <w:rPr>
          <w:rFonts w:ascii="David" w:hAnsi="David" w:cs="David"/>
          <w:sz w:val="24"/>
          <w:szCs w:val="24"/>
          <w:rtl/>
        </w:rPr>
      </w:pPr>
    </w:p>
    <w:p w:rsidR="00F12B2B" w:rsidRPr="00116BDC" w:rsidRDefault="00F12B2B" w:rsidP="00F12B2B">
      <w:pPr>
        <w:pStyle w:val="af"/>
        <w:tabs>
          <w:tab w:val="left" w:pos="567"/>
        </w:tabs>
        <w:spacing w:after="0" w:line="360" w:lineRule="auto"/>
        <w:ind w:left="567"/>
        <w:jc w:val="both"/>
        <w:rPr>
          <w:rFonts w:ascii="David" w:hAnsi="David" w:cs="David"/>
          <w:sz w:val="24"/>
          <w:szCs w:val="24"/>
          <w:rtl/>
        </w:rPr>
      </w:pPr>
      <w:r w:rsidRPr="00116BDC">
        <w:rPr>
          <w:rFonts w:ascii="David" w:hAnsi="David" w:cs="David"/>
          <w:sz w:val="24"/>
          <w:szCs w:val="24"/>
          <w:rtl/>
        </w:rPr>
        <w:t>בעדותו של הנתבע בהליך דנן, אישר כי העו"ס לסדרי דין ערכה את ביקור הבית בבית אמו וכי הבית מתאים להלנת הקטינים:</w:t>
      </w:r>
    </w:p>
    <w:p w:rsidR="00736047" w:rsidRPr="00116BDC" w:rsidRDefault="00736047" w:rsidP="00F12B2B">
      <w:pPr>
        <w:pStyle w:val="af"/>
        <w:tabs>
          <w:tab w:val="left" w:pos="567"/>
        </w:tabs>
        <w:spacing w:after="0" w:line="360" w:lineRule="auto"/>
        <w:ind w:left="567"/>
        <w:jc w:val="both"/>
        <w:rPr>
          <w:rFonts w:ascii="David" w:hAnsi="David" w:cs="David"/>
          <w:sz w:val="24"/>
          <w:szCs w:val="24"/>
          <w:rtl/>
        </w:rPr>
      </w:pPr>
    </w:p>
    <w:p w:rsidR="00F12B2B" w:rsidRPr="00116BDC" w:rsidRDefault="00F12B2B" w:rsidP="00F12B2B">
      <w:pPr>
        <w:spacing w:line="360" w:lineRule="auto"/>
        <w:ind w:left="1134" w:right="567"/>
        <w:jc w:val="both"/>
        <w:rPr>
          <w:rFonts w:ascii="David" w:hAnsi="David"/>
          <w:b/>
          <w:bCs/>
          <w:rtl/>
        </w:rPr>
      </w:pPr>
      <w:r w:rsidRPr="00116BDC">
        <w:rPr>
          <w:rFonts w:ascii="David" w:hAnsi="David"/>
          <w:b/>
          <w:bCs/>
          <w:rtl/>
        </w:rPr>
        <w:t>"פקידת הסעד קיימה ביקור בית?</w:t>
      </w:r>
    </w:p>
    <w:p w:rsidR="00F12B2B" w:rsidRPr="00116BDC" w:rsidRDefault="00F12B2B" w:rsidP="00F12B2B">
      <w:pPr>
        <w:spacing w:line="360" w:lineRule="auto"/>
        <w:ind w:left="1134" w:right="567"/>
        <w:jc w:val="both"/>
        <w:rPr>
          <w:rFonts w:ascii="David" w:hAnsi="David"/>
        </w:rPr>
      </w:pPr>
      <w:r w:rsidRPr="00116BDC">
        <w:rPr>
          <w:rFonts w:ascii="David" w:hAnsi="David"/>
          <w:rtl/>
        </w:rPr>
        <w:t>ת.</w:t>
      </w:r>
      <w:r w:rsidRPr="00116BDC">
        <w:rPr>
          <w:rFonts w:ascii="David" w:hAnsi="David"/>
          <w:rtl/>
        </w:rPr>
        <w:tab/>
        <w:t xml:space="preserve">כן. </w:t>
      </w:r>
    </w:p>
    <w:p w:rsidR="00F12B2B" w:rsidRPr="00116BDC" w:rsidRDefault="00F12B2B" w:rsidP="00F12B2B">
      <w:pPr>
        <w:spacing w:line="360" w:lineRule="auto"/>
        <w:ind w:left="1134" w:right="567"/>
        <w:jc w:val="both"/>
        <w:rPr>
          <w:rFonts w:ascii="David" w:hAnsi="David"/>
          <w:b/>
          <w:bCs/>
          <w:rtl/>
        </w:rPr>
      </w:pPr>
      <w:r w:rsidRPr="00116BDC">
        <w:rPr>
          <w:rFonts w:ascii="David" w:hAnsi="David"/>
          <w:b/>
          <w:bCs/>
          <w:rtl/>
        </w:rPr>
        <w:t>ש.</w:t>
      </w:r>
      <w:r w:rsidRPr="00116BDC">
        <w:rPr>
          <w:rFonts w:ascii="David" w:hAnsi="David"/>
          <w:b/>
          <w:bCs/>
          <w:rtl/>
        </w:rPr>
        <w:tab/>
        <w:t>באיזה בית?</w:t>
      </w:r>
    </w:p>
    <w:p w:rsidR="00F12B2B" w:rsidRPr="00116BDC" w:rsidRDefault="00F12B2B" w:rsidP="00E731CA">
      <w:pPr>
        <w:spacing w:line="360" w:lineRule="auto"/>
        <w:ind w:left="1134" w:right="567"/>
        <w:jc w:val="both"/>
        <w:rPr>
          <w:rFonts w:ascii="David" w:hAnsi="David"/>
          <w:rtl/>
        </w:rPr>
      </w:pPr>
      <w:r w:rsidRPr="00116BDC">
        <w:rPr>
          <w:rFonts w:ascii="David" w:hAnsi="David"/>
          <w:rtl/>
        </w:rPr>
        <w:t>ת.</w:t>
      </w:r>
      <w:r w:rsidRPr="00116BDC">
        <w:rPr>
          <w:rFonts w:ascii="David" w:hAnsi="David"/>
          <w:rtl/>
        </w:rPr>
        <w:tab/>
        <w:t xml:space="preserve">בבית אמי, ברחוב </w:t>
      </w:r>
      <w:r w:rsidR="00E731CA">
        <w:rPr>
          <w:rFonts w:ascii="David" w:hAnsi="David" w:hint="cs"/>
          <w:rtl/>
        </w:rPr>
        <w:t>***</w:t>
      </w:r>
      <w:r w:rsidRPr="00116BDC">
        <w:rPr>
          <w:rFonts w:ascii="David" w:hAnsi="David"/>
          <w:rtl/>
        </w:rPr>
        <w:t xml:space="preserve"> בבאר שבע. </w:t>
      </w:r>
    </w:p>
    <w:p w:rsidR="00F12B2B" w:rsidRPr="00116BDC" w:rsidRDefault="00F12B2B" w:rsidP="00F12B2B">
      <w:pPr>
        <w:spacing w:line="360" w:lineRule="auto"/>
        <w:ind w:left="1134" w:right="567"/>
        <w:jc w:val="both"/>
        <w:rPr>
          <w:rFonts w:ascii="David" w:hAnsi="David"/>
          <w:b/>
          <w:bCs/>
          <w:rtl/>
        </w:rPr>
      </w:pPr>
      <w:r w:rsidRPr="00116BDC">
        <w:rPr>
          <w:rFonts w:ascii="David" w:hAnsi="David"/>
          <w:b/>
          <w:bCs/>
          <w:rtl/>
        </w:rPr>
        <w:t>ש.</w:t>
      </w:r>
      <w:r w:rsidRPr="00116BDC">
        <w:rPr>
          <w:rFonts w:ascii="David" w:hAnsi="David"/>
          <w:b/>
          <w:bCs/>
          <w:rtl/>
        </w:rPr>
        <w:tab/>
        <w:t>פקידת הסעד איך התרשמה מהסביבה שדאגת לילדים לכל מה שצריך?</w:t>
      </w:r>
    </w:p>
    <w:p w:rsidR="00F12B2B" w:rsidRPr="00116BDC" w:rsidRDefault="00F12B2B" w:rsidP="00F12B2B">
      <w:pPr>
        <w:spacing w:line="360" w:lineRule="auto"/>
        <w:ind w:left="1134" w:right="567"/>
        <w:jc w:val="both"/>
        <w:rPr>
          <w:rFonts w:ascii="David" w:hAnsi="David"/>
          <w:rtl/>
        </w:rPr>
      </w:pPr>
      <w:r w:rsidRPr="00116BDC">
        <w:rPr>
          <w:rFonts w:ascii="David" w:hAnsi="David"/>
          <w:rtl/>
        </w:rPr>
        <w:lastRenderedPageBreak/>
        <w:t>ת.</w:t>
      </w:r>
      <w:r w:rsidRPr="00116BDC">
        <w:rPr>
          <w:rFonts w:ascii="David" w:hAnsi="David"/>
          <w:rtl/>
        </w:rPr>
        <w:tab/>
        <w:t xml:space="preserve">כן. </w:t>
      </w:r>
    </w:p>
    <w:p w:rsidR="00F12B2B" w:rsidRPr="00116BDC" w:rsidRDefault="00F12B2B" w:rsidP="00F12B2B">
      <w:pPr>
        <w:spacing w:line="360" w:lineRule="auto"/>
        <w:ind w:left="1134" w:right="567"/>
        <w:jc w:val="both"/>
        <w:rPr>
          <w:rFonts w:ascii="David" w:hAnsi="David"/>
          <w:b/>
          <w:bCs/>
          <w:rtl/>
        </w:rPr>
      </w:pPr>
      <w:r w:rsidRPr="00116BDC">
        <w:rPr>
          <w:rFonts w:ascii="David" w:hAnsi="David"/>
          <w:b/>
          <w:bCs/>
          <w:rtl/>
        </w:rPr>
        <w:t>ש.</w:t>
      </w:r>
      <w:r w:rsidRPr="00116BDC">
        <w:rPr>
          <w:rFonts w:ascii="David" w:hAnsi="David"/>
          <w:b/>
          <w:bCs/>
          <w:rtl/>
        </w:rPr>
        <w:tab/>
        <w:t>יש חדר עבור הילדים תספר לבית המשפט בבית של אמא שלך?</w:t>
      </w:r>
    </w:p>
    <w:p w:rsidR="00F12B2B" w:rsidRPr="00116BDC" w:rsidRDefault="00F12B2B" w:rsidP="00E731CA">
      <w:pPr>
        <w:spacing w:line="360" w:lineRule="auto"/>
        <w:ind w:left="1134" w:right="567"/>
        <w:jc w:val="both"/>
        <w:rPr>
          <w:rFonts w:ascii="David" w:hAnsi="David"/>
          <w:rtl/>
        </w:rPr>
      </w:pPr>
      <w:r w:rsidRPr="00116BDC">
        <w:rPr>
          <w:rFonts w:ascii="David" w:hAnsi="David"/>
          <w:rtl/>
        </w:rPr>
        <w:t>ת.</w:t>
      </w:r>
      <w:r w:rsidRPr="00116BDC">
        <w:rPr>
          <w:rFonts w:ascii="David" w:hAnsi="David"/>
          <w:rtl/>
        </w:rPr>
        <w:tab/>
        <w:t xml:space="preserve">אמא שלי גרה בדירה לבד. מדובר בדירת 3 חדרים וסלון, סך הכל 4 חדרים. </w:t>
      </w:r>
      <w:r w:rsidR="00E731CA">
        <w:rPr>
          <w:rFonts w:ascii="David" w:hAnsi="David" w:hint="cs"/>
          <w:rtl/>
        </w:rPr>
        <w:t>ע'</w:t>
      </w:r>
      <w:r w:rsidRPr="00116BDC">
        <w:rPr>
          <w:rFonts w:ascii="David" w:hAnsi="David"/>
          <w:rtl/>
        </w:rPr>
        <w:t xml:space="preserve"> בחדר עם </w:t>
      </w:r>
      <w:r w:rsidR="00E731CA">
        <w:rPr>
          <w:rFonts w:ascii="David" w:hAnsi="David" w:hint="cs"/>
          <w:rtl/>
        </w:rPr>
        <w:t>י'</w:t>
      </w:r>
      <w:r w:rsidRPr="00116BDC">
        <w:rPr>
          <w:rFonts w:ascii="David" w:hAnsi="David"/>
          <w:rtl/>
        </w:rPr>
        <w:t xml:space="preserve"> יש לו מיטה משלו, </w:t>
      </w:r>
      <w:r w:rsidR="00E731CA">
        <w:rPr>
          <w:rFonts w:ascii="David" w:hAnsi="David" w:hint="cs"/>
          <w:rtl/>
        </w:rPr>
        <w:t>א' ו-</w:t>
      </w:r>
      <w:r w:rsidR="00731B20">
        <w:rPr>
          <w:rFonts w:ascii="David" w:hAnsi="David" w:hint="cs"/>
          <w:rtl/>
        </w:rPr>
        <w:t>נ</w:t>
      </w:r>
      <w:r w:rsidR="00731B20">
        <w:rPr>
          <w:rFonts w:ascii="David" w:hAnsi="David"/>
          <w:rtl/>
        </w:rPr>
        <w:t>'</w:t>
      </w:r>
      <w:r w:rsidRPr="00116BDC">
        <w:rPr>
          <w:rFonts w:ascii="David" w:hAnsi="David"/>
          <w:rtl/>
        </w:rPr>
        <w:t xml:space="preserve"> ישנים במיטת קומתיים. אני ישן בסלון" (עמ' 16, שורות 36-31 ועמ' 17, שורות 3-1 לפרוטוקול).</w:t>
      </w:r>
    </w:p>
    <w:p w:rsidR="00736047" w:rsidRPr="00116BDC" w:rsidRDefault="00736047" w:rsidP="00F12B2B">
      <w:pPr>
        <w:pStyle w:val="af"/>
        <w:tabs>
          <w:tab w:val="left" w:pos="567"/>
        </w:tabs>
        <w:spacing w:after="0" w:line="360" w:lineRule="auto"/>
        <w:ind w:left="567"/>
        <w:jc w:val="both"/>
        <w:rPr>
          <w:rFonts w:ascii="David" w:hAnsi="David" w:cs="David"/>
          <w:sz w:val="24"/>
          <w:szCs w:val="24"/>
          <w:rtl/>
        </w:rPr>
      </w:pPr>
    </w:p>
    <w:p w:rsidR="00F12B2B" w:rsidRPr="00116BDC" w:rsidRDefault="00F12B2B" w:rsidP="00F12B2B">
      <w:pPr>
        <w:pStyle w:val="af"/>
        <w:tabs>
          <w:tab w:val="left" w:pos="567"/>
        </w:tabs>
        <w:spacing w:after="0" w:line="360" w:lineRule="auto"/>
        <w:ind w:left="567"/>
        <w:jc w:val="both"/>
        <w:rPr>
          <w:rFonts w:ascii="David" w:hAnsi="David"/>
          <w:rtl/>
        </w:rPr>
      </w:pPr>
      <w:r w:rsidRPr="00116BDC">
        <w:rPr>
          <w:rFonts w:ascii="David" w:hAnsi="David" w:cs="David"/>
          <w:sz w:val="24"/>
          <w:szCs w:val="24"/>
          <w:rtl/>
        </w:rPr>
        <w:t xml:space="preserve">תמיכה למסקנתי זו מתקבלת גם מגובה הוצאות אחזקת המדור, כעולה מעיון באסמכתאות שצורפו לתצהיר עדותו הראשית של האב (נספח ה'), המעלות ספק של ממש האם הוצאות אחזקת המדור שצורפו, העומדות על עשרות שקלים בלבד בחודש, משקפות מגורים בנכס בהרכב המשפחתי של הנתבע וילדיו. לשם המחשה בלבד, די אם נפנה לחשבון החשמל הדו חודשי ממנו עולה כי החיובים נעו בסכומים שבין 85.14 ₪ ל-209.67 ₪ לחודשיים. באופן דומה, חשבון הגז מסתכם בחיוב חודשי של עשרות שקלים בודדים לחודשיים (כ-30-40 ₪ לחיוב דו חודשי). </w:t>
      </w:r>
    </w:p>
    <w:p w:rsidR="00F12B2B" w:rsidRPr="00116BDC" w:rsidRDefault="00F12B2B" w:rsidP="00F12B2B">
      <w:pPr>
        <w:pStyle w:val="af"/>
        <w:tabs>
          <w:tab w:val="left" w:pos="567"/>
        </w:tabs>
        <w:spacing w:after="0" w:line="360" w:lineRule="auto"/>
        <w:ind w:left="567"/>
        <w:jc w:val="both"/>
        <w:rPr>
          <w:rFonts w:ascii="David" w:hAnsi="David" w:cs="David"/>
          <w:sz w:val="24"/>
          <w:szCs w:val="24"/>
          <w:rtl/>
        </w:rPr>
      </w:pPr>
    </w:p>
    <w:p w:rsidR="00F12B2B" w:rsidRPr="00116BDC" w:rsidRDefault="00F12B2B" w:rsidP="00F12B2B">
      <w:pPr>
        <w:pStyle w:val="af"/>
        <w:numPr>
          <w:ilvl w:val="0"/>
          <w:numId w:val="1"/>
        </w:numPr>
        <w:tabs>
          <w:tab w:val="left" w:pos="567"/>
        </w:tabs>
        <w:spacing w:after="0" w:line="360" w:lineRule="auto"/>
        <w:ind w:left="567" w:hanging="567"/>
        <w:jc w:val="both"/>
        <w:rPr>
          <w:rFonts w:ascii="David" w:hAnsi="David" w:cs="David"/>
          <w:b/>
          <w:bCs/>
          <w:sz w:val="24"/>
          <w:szCs w:val="24"/>
          <w:u w:val="single"/>
          <w:rtl/>
        </w:rPr>
      </w:pPr>
      <w:r w:rsidRPr="00116BDC">
        <w:rPr>
          <w:rFonts w:ascii="David" w:hAnsi="David" w:cs="David"/>
          <w:sz w:val="24"/>
          <w:szCs w:val="24"/>
          <w:rtl/>
        </w:rPr>
        <w:t xml:space="preserve">על האמור יש להוסיף, כי האב לא פעל להציג הסכם שכירות תקף ו/או אסמכתה מתאימה בדבר תשלום דמי שכירות. הסכם השכירות שצורף לתצהיר עדותו של האב מתייחס אך לתקופה שמיום 1.12.2020 ועד ליום 1.12.2021 (זאת אעפ"י שהתצהיר נחתם ב-10.11.2022). </w:t>
      </w:r>
    </w:p>
    <w:p w:rsidR="00F12B2B" w:rsidRPr="00116BDC" w:rsidRDefault="00F12B2B" w:rsidP="00F12B2B">
      <w:pPr>
        <w:pStyle w:val="af"/>
        <w:tabs>
          <w:tab w:val="left" w:pos="567"/>
        </w:tabs>
        <w:spacing w:after="0" w:line="360" w:lineRule="auto"/>
        <w:ind w:left="567"/>
        <w:jc w:val="both"/>
        <w:rPr>
          <w:rFonts w:ascii="David" w:hAnsi="David" w:cs="David"/>
          <w:b/>
          <w:bCs/>
          <w:sz w:val="24"/>
          <w:szCs w:val="24"/>
          <w:u w:val="single"/>
        </w:rPr>
      </w:pPr>
    </w:p>
    <w:p w:rsidR="00F12B2B" w:rsidRPr="00116BDC" w:rsidRDefault="00F12B2B" w:rsidP="00F12B2B">
      <w:pPr>
        <w:pStyle w:val="af"/>
        <w:numPr>
          <w:ilvl w:val="0"/>
          <w:numId w:val="1"/>
        </w:numPr>
        <w:tabs>
          <w:tab w:val="left" w:pos="567"/>
        </w:tabs>
        <w:spacing w:after="0" w:line="360" w:lineRule="auto"/>
        <w:ind w:left="567" w:hanging="567"/>
        <w:jc w:val="both"/>
        <w:rPr>
          <w:rFonts w:ascii="David" w:hAnsi="David" w:cs="David"/>
          <w:b/>
          <w:bCs/>
          <w:sz w:val="24"/>
          <w:szCs w:val="24"/>
          <w:u w:val="single"/>
        </w:rPr>
      </w:pPr>
      <w:r w:rsidRPr="00116BDC">
        <w:rPr>
          <w:rFonts w:ascii="David" w:hAnsi="David" w:cs="David"/>
          <w:sz w:val="24"/>
          <w:szCs w:val="24"/>
          <w:rtl/>
        </w:rPr>
        <w:t xml:space="preserve">ממילא, האב העיד בעדותו כי אינו נושא בעת הזו בתשלום דמי השכירות בגין מגוריו הנטענים בדירה: </w:t>
      </w:r>
    </w:p>
    <w:p w:rsidR="00736047" w:rsidRPr="00116BDC" w:rsidRDefault="00736047" w:rsidP="00736047">
      <w:pPr>
        <w:tabs>
          <w:tab w:val="left" w:pos="567"/>
        </w:tabs>
        <w:spacing w:line="360" w:lineRule="auto"/>
        <w:jc w:val="both"/>
        <w:rPr>
          <w:rFonts w:ascii="David" w:hAnsi="David"/>
          <w:b/>
          <w:bCs/>
          <w:u w:val="single"/>
        </w:rPr>
      </w:pPr>
    </w:p>
    <w:p w:rsidR="00F12B2B" w:rsidRPr="00116BDC" w:rsidRDefault="00F12B2B" w:rsidP="00F12B2B">
      <w:pPr>
        <w:pStyle w:val="af"/>
        <w:spacing w:line="360" w:lineRule="auto"/>
        <w:ind w:left="1076" w:right="284"/>
        <w:jc w:val="both"/>
        <w:rPr>
          <w:rFonts w:ascii="David" w:hAnsi="David" w:cs="David"/>
          <w:sz w:val="24"/>
          <w:szCs w:val="24"/>
        </w:rPr>
      </w:pPr>
      <w:r w:rsidRPr="00116BDC">
        <w:rPr>
          <w:rFonts w:ascii="David" w:hAnsi="David" w:cs="David"/>
          <w:sz w:val="24"/>
          <w:szCs w:val="24"/>
          <w:rtl/>
        </w:rPr>
        <w:t>"</w:t>
      </w:r>
      <w:r w:rsidRPr="00116BDC">
        <w:rPr>
          <w:rFonts w:ascii="David" w:hAnsi="David" w:cs="David"/>
          <w:b/>
          <w:bCs/>
          <w:sz w:val="24"/>
          <w:szCs w:val="24"/>
          <w:rtl/>
        </w:rPr>
        <w:t>מעבר לזה הפסקתי לשלם גם את השכירות לא מרצון</w:t>
      </w:r>
      <w:r w:rsidRPr="00116BDC">
        <w:rPr>
          <w:rFonts w:ascii="David" w:hAnsi="David" w:cs="David"/>
          <w:sz w:val="24"/>
          <w:szCs w:val="24"/>
          <w:rtl/>
        </w:rPr>
        <w:t xml:space="preserve">" (עמ' 17, שורה 14 לפרוטוקול) </w:t>
      </w:r>
    </w:p>
    <w:p w:rsidR="00F12B2B" w:rsidRPr="00116BDC" w:rsidRDefault="00F12B2B" w:rsidP="00F12B2B">
      <w:pPr>
        <w:spacing w:line="360" w:lineRule="auto"/>
        <w:ind w:right="284" w:firstLine="567"/>
        <w:jc w:val="both"/>
        <w:rPr>
          <w:rFonts w:ascii="David" w:hAnsi="David"/>
          <w:rtl/>
        </w:rPr>
      </w:pPr>
      <w:r w:rsidRPr="00116BDC">
        <w:rPr>
          <w:rFonts w:ascii="David" w:hAnsi="David"/>
          <w:rtl/>
        </w:rPr>
        <w:t>ובהמשך:</w:t>
      </w:r>
    </w:p>
    <w:p w:rsidR="00F12B2B" w:rsidRPr="00116BDC" w:rsidRDefault="00F12B2B" w:rsidP="00F12B2B">
      <w:pPr>
        <w:pStyle w:val="af"/>
        <w:tabs>
          <w:tab w:val="left" w:pos="567"/>
        </w:tabs>
        <w:spacing w:after="0" w:line="360" w:lineRule="auto"/>
        <w:ind w:left="567" w:right="426" w:firstLine="509"/>
        <w:jc w:val="both"/>
        <w:rPr>
          <w:rFonts w:ascii="David" w:hAnsi="David" w:cs="David"/>
          <w:b/>
          <w:bCs/>
          <w:sz w:val="24"/>
          <w:szCs w:val="24"/>
          <w:rtl/>
        </w:rPr>
      </w:pPr>
      <w:r w:rsidRPr="00116BDC">
        <w:rPr>
          <w:rFonts w:ascii="David" w:hAnsi="David" w:cs="David"/>
          <w:sz w:val="24"/>
          <w:szCs w:val="24"/>
          <w:rtl/>
        </w:rPr>
        <w:t xml:space="preserve">"ש. </w:t>
      </w:r>
      <w:r w:rsidRPr="00116BDC">
        <w:rPr>
          <w:rFonts w:ascii="David" w:hAnsi="David" w:cs="David"/>
          <w:b/>
          <w:bCs/>
          <w:sz w:val="24"/>
          <w:szCs w:val="24"/>
          <w:rtl/>
        </w:rPr>
        <w:t>מלבד אותם 3-4 חודשים אין לך הוצאה של דמי שכירות בפועל?</w:t>
      </w:r>
    </w:p>
    <w:p w:rsidR="00F12B2B" w:rsidRPr="00116BDC" w:rsidRDefault="00F12B2B" w:rsidP="00F12B2B">
      <w:pPr>
        <w:pStyle w:val="af"/>
        <w:tabs>
          <w:tab w:val="left" w:pos="567"/>
        </w:tabs>
        <w:spacing w:after="0" w:line="360" w:lineRule="auto"/>
        <w:ind w:left="567" w:right="426" w:firstLine="509"/>
        <w:jc w:val="both"/>
        <w:rPr>
          <w:rFonts w:ascii="David" w:hAnsi="David" w:cs="David"/>
          <w:sz w:val="24"/>
          <w:szCs w:val="24"/>
          <w:rtl/>
        </w:rPr>
      </w:pPr>
      <w:r w:rsidRPr="00116BDC">
        <w:rPr>
          <w:rFonts w:ascii="David" w:hAnsi="David" w:cs="David"/>
          <w:b/>
          <w:bCs/>
          <w:sz w:val="24"/>
          <w:szCs w:val="24"/>
          <w:rtl/>
        </w:rPr>
        <w:t>ת. בפועל אני לא משלם כי אין לי ממה לשלם".</w:t>
      </w:r>
      <w:r w:rsidRPr="00116BDC">
        <w:rPr>
          <w:rFonts w:ascii="David" w:hAnsi="David" w:cs="David"/>
          <w:sz w:val="24"/>
          <w:szCs w:val="24"/>
          <w:rtl/>
        </w:rPr>
        <w:t xml:space="preserve"> (עמ' 25, שורות 2-1 לפרוטוקול)</w:t>
      </w:r>
    </w:p>
    <w:p w:rsidR="00F12B2B" w:rsidRPr="00116BDC" w:rsidRDefault="00F12B2B" w:rsidP="00F12B2B">
      <w:pPr>
        <w:pStyle w:val="af"/>
        <w:spacing w:line="360" w:lineRule="auto"/>
        <w:rPr>
          <w:rFonts w:ascii="David" w:hAnsi="David" w:cs="David"/>
          <w:b/>
          <w:bCs/>
          <w:sz w:val="24"/>
          <w:szCs w:val="24"/>
          <w:u w:val="single"/>
          <w:rtl/>
        </w:rPr>
      </w:pPr>
    </w:p>
    <w:p w:rsidR="00F12B2B" w:rsidRPr="00116BDC" w:rsidRDefault="00F12B2B" w:rsidP="00F12B2B">
      <w:pPr>
        <w:pStyle w:val="af"/>
        <w:numPr>
          <w:ilvl w:val="0"/>
          <w:numId w:val="1"/>
        </w:numPr>
        <w:tabs>
          <w:tab w:val="left" w:pos="567"/>
        </w:tabs>
        <w:spacing w:after="0" w:line="360" w:lineRule="auto"/>
        <w:ind w:left="567" w:hanging="567"/>
        <w:jc w:val="both"/>
        <w:rPr>
          <w:rFonts w:ascii="David" w:hAnsi="David" w:cs="David"/>
          <w:sz w:val="24"/>
          <w:szCs w:val="24"/>
          <w:rtl/>
        </w:rPr>
      </w:pPr>
      <w:r w:rsidRPr="00116BDC">
        <w:rPr>
          <w:rFonts w:ascii="David" w:hAnsi="David" w:cs="David"/>
          <w:sz w:val="24"/>
          <w:szCs w:val="24"/>
          <w:rtl/>
        </w:rPr>
        <w:t>האב אישר בעדותו, כי הוא רשום כבעליה של הדירה שהתקבלה בירושה (ר' עמ' 16, שורות 17-25 לפרוטוקול), אך ביקש לסייג ולטעון כי חרף הרישום, הוא מחזיק ב-1/5 מהזכויות בדירה בלבד וכי יתר הזכויות בדירה – של אחיו (ר' גם סעיף 23.3 לתצהיר עדותו הראשית).</w:t>
      </w:r>
    </w:p>
    <w:p w:rsidR="00F12B2B" w:rsidRPr="00116BDC" w:rsidRDefault="00F12B2B" w:rsidP="00F12B2B">
      <w:pPr>
        <w:pStyle w:val="10"/>
        <w:tabs>
          <w:tab w:val="left" w:pos="509"/>
          <w:tab w:val="left" w:pos="567"/>
        </w:tabs>
        <w:spacing w:line="360" w:lineRule="auto"/>
        <w:jc w:val="both"/>
        <w:rPr>
          <w:rFonts w:ascii="David" w:hAnsi="David"/>
        </w:rPr>
      </w:pPr>
    </w:p>
    <w:p w:rsidR="00F12B2B" w:rsidRPr="00116BDC" w:rsidRDefault="00F12B2B" w:rsidP="00F12B2B">
      <w:pPr>
        <w:pStyle w:val="10"/>
        <w:tabs>
          <w:tab w:val="left" w:pos="509"/>
          <w:tab w:val="left" w:pos="567"/>
        </w:tabs>
        <w:spacing w:line="360" w:lineRule="auto"/>
        <w:ind w:left="567" w:hanging="567"/>
        <w:jc w:val="both"/>
        <w:rPr>
          <w:rFonts w:ascii="David" w:hAnsi="David"/>
          <w:rtl/>
        </w:rPr>
      </w:pPr>
      <w:r w:rsidRPr="00116BDC">
        <w:rPr>
          <w:rFonts w:ascii="David" w:hAnsi="David"/>
          <w:rtl/>
        </w:rPr>
        <w:tab/>
        <w:t xml:space="preserve">דא עקא, חרף טענתו המבקשת לסתור רישום הבעלות בנכס המקרקעין, האב לא הציג אסמכתאות, עדויות או ראיות לתמיכה בטענתו בקשר עם חלקו בדירת הירושה ונמנע מלהביא עדים שהיו בשליטתו; ובתוך כך לא הובא לעדות אחי האב ו/או מי מבני משפחתו, אשר נטען כי הוא משלם להם דמי שכירות בגין מגוריו הנטענים בדירה. </w:t>
      </w:r>
    </w:p>
    <w:p w:rsidR="00F12B2B" w:rsidRPr="00116BDC" w:rsidRDefault="00F12B2B" w:rsidP="00F12B2B">
      <w:pPr>
        <w:pStyle w:val="10"/>
        <w:tabs>
          <w:tab w:val="left" w:pos="509"/>
          <w:tab w:val="left" w:pos="567"/>
        </w:tabs>
        <w:spacing w:line="360" w:lineRule="auto"/>
        <w:ind w:left="567" w:hanging="567"/>
        <w:jc w:val="both"/>
        <w:rPr>
          <w:rFonts w:ascii="David" w:hAnsi="David"/>
          <w:rtl/>
        </w:rPr>
      </w:pPr>
      <w:r w:rsidRPr="00116BDC">
        <w:rPr>
          <w:rFonts w:ascii="David" w:hAnsi="David"/>
          <w:rtl/>
        </w:rPr>
        <w:lastRenderedPageBreak/>
        <w:tab/>
        <w:t xml:space="preserve">הלכה פסוקה היא כי כאשר בעל דין נמנע מלהציג ראיה או להביא עד, יש להניח כי המדובר בראיה או עדות הפועלת לרעתו ותשמש כנגדו, ודאי כאשר מדובר בראיות או בעדות שהן בשליטת בעל דין – כבמקרה דנן (ראו: </w:t>
      </w:r>
      <w:hyperlink r:id="rId11" w:history="1">
        <w:r w:rsidRPr="00116BDC">
          <w:rPr>
            <w:rStyle w:val="Hyperlink"/>
            <w:rFonts w:ascii="David" w:hAnsi="David"/>
            <w:color w:val="auto"/>
            <w:u w:val="none"/>
            <w:rtl/>
          </w:rPr>
          <w:t>ע"א 465/88</w:t>
        </w:r>
      </w:hyperlink>
      <w:r w:rsidRPr="00116BDC">
        <w:rPr>
          <w:rFonts w:ascii="David" w:hAnsi="David"/>
          <w:rtl/>
        </w:rPr>
        <w:t xml:space="preserve"> </w:t>
      </w:r>
      <w:r w:rsidRPr="00116BDC">
        <w:rPr>
          <w:rFonts w:ascii="David" w:hAnsi="David" w:hint="cs"/>
          <w:b/>
          <w:bCs/>
          <w:rtl/>
        </w:rPr>
        <w:t>הבנק למימון מסחר בע"מ נ' סלימה מתתיהו ואח'</w:t>
      </w:r>
      <w:r w:rsidRPr="00116BDC">
        <w:rPr>
          <w:rFonts w:ascii="David" w:hAnsi="David" w:hint="cs"/>
          <w:rtl/>
        </w:rPr>
        <w:t xml:space="preserve">, פד"י מ"ה (4) 651, </w:t>
      </w:r>
      <w:hyperlink r:id="rId12" w:history="1">
        <w:r w:rsidRPr="00116BDC">
          <w:rPr>
            <w:rStyle w:val="Hyperlink"/>
            <w:rFonts w:ascii="David" w:hAnsi="David"/>
            <w:color w:val="auto"/>
            <w:u w:val="none"/>
            <w:rtl/>
          </w:rPr>
          <w:t>ע"א 795/99</w:t>
        </w:r>
      </w:hyperlink>
      <w:r w:rsidRPr="00116BDC">
        <w:rPr>
          <w:rFonts w:ascii="David" w:hAnsi="David"/>
          <w:rtl/>
        </w:rPr>
        <w:t xml:space="preserve"> </w:t>
      </w:r>
      <w:r w:rsidRPr="00116BDC">
        <w:rPr>
          <w:rFonts w:ascii="David" w:hAnsi="David" w:hint="cs"/>
          <w:b/>
          <w:bCs/>
          <w:rtl/>
        </w:rPr>
        <w:t>פרנסואה נ' פוזיל</w:t>
      </w:r>
      <w:r w:rsidRPr="00116BDC">
        <w:rPr>
          <w:rFonts w:ascii="David" w:hAnsi="David" w:hint="cs"/>
          <w:rtl/>
        </w:rPr>
        <w:t xml:space="preserve">, פד"י נ"ד (3) 107). </w:t>
      </w:r>
    </w:p>
    <w:p w:rsidR="00F12B2B" w:rsidRPr="00116BDC" w:rsidRDefault="00F12B2B" w:rsidP="00F12B2B">
      <w:pPr>
        <w:pStyle w:val="af"/>
        <w:rPr>
          <w:rFonts w:ascii="David" w:hAnsi="David" w:cs="David"/>
          <w:sz w:val="24"/>
          <w:szCs w:val="24"/>
        </w:rPr>
      </w:pPr>
    </w:p>
    <w:p w:rsidR="00F12B2B" w:rsidRPr="00116BDC" w:rsidRDefault="00F12B2B" w:rsidP="00F12B2B">
      <w:pPr>
        <w:pStyle w:val="af"/>
        <w:numPr>
          <w:ilvl w:val="0"/>
          <w:numId w:val="1"/>
        </w:numPr>
        <w:tabs>
          <w:tab w:val="left" w:pos="567"/>
        </w:tabs>
        <w:spacing w:after="0" w:line="360" w:lineRule="auto"/>
        <w:ind w:left="567" w:hanging="567"/>
        <w:jc w:val="both"/>
        <w:rPr>
          <w:rFonts w:ascii="David" w:hAnsi="David" w:cs="David"/>
          <w:sz w:val="24"/>
          <w:szCs w:val="24"/>
          <w:rtl/>
        </w:rPr>
      </w:pPr>
      <w:r w:rsidRPr="00116BDC">
        <w:rPr>
          <w:rFonts w:ascii="David" w:hAnsi="David" w:cs="David"/>
          <w:sz w:val="24"/>
          <w:szCs w:val="24"/>
          <w:rtl/>
        </w:rPr>
        <w:t>באופן דומה, האב לא הגיש ראיות כלשהן להוכחת חובותיו הנטענים לבני משפחתו, בגין הלוואות נטענות שנטל מהם (ר' סעיף 22.5-22.6 לתצהיר האב), לא זימנם לעדות ואף לא הגיש אסמכתאות להוכחת העברות הכספים מידם לידיו, כנטען. מחדלים אלה של הנתבע מדברים בעד עצמם ושומטים את הקרקע תחת טענותיו.</w:t>
      </w:r>
    </w:p>
    <w:p w:rsidR="00F12B2B" w:rsidRPr="00116BDC" w:rsidRDefault="00F12B2B" w:rsidP="00F12B2B">
      <w:pPr>
        <w:pStyle w:val="af"/>
        <w:tabs>
          <w:tab w:val="left" w:pos="567"/>
        </w:tabs>
        <w:spacing w:after="0" w:line="360" w:lineRule="auto"/>
        <w:ind w:left="567"/>
        <w:jc w:val="both"/>
        <w:rPr>
          <w:rFonts w:ascii="David" w:hAnsi="David" w:cs="David"/>
          <w:sz w:val="24"/>
          <w:szCs w:val="24"/>
        </w:rPr>
      </w:pPr>
    </w:p>
    <w:p w:rsidR="00F12B2B" w:rsidRPr="00116BDC" w:rsidRDefault="00F12B2B" w:rsidP="00F12B2B">
      <w:pPr>
        <w:pStyle w:val="af"/>
        <w:numPr>
          <w:ilvl w:val="0"/>
          <w:numId w:val="1"/>
        </w:numPr>
        <w:tabs>
          <w:tab w:val="left" w:pos="567"/>
        </w:tabs>
        <w:spacing w:after="0" w:line="360" w:lineRule="auto"/>
        <w:ind w:left="567" w:hanging="567"/>
        <w:jc w:val="both"/>
        <w:rPr>
          <w:rFonts w:ascii="David" w:hAnsi="David" w:cs="David"/>
          <w:sz w:val="24"/>
          <w:szCs w:val="24"/>
        </w:rPr>
      </w:pPr>
      <w:r w:rsidRPr="00116BDC">
        <w:rPr>
          <w:rFonts w:ascii="David" w:hAnsi="David" w:cs="David"/>
          <w:sz w:val="24"/>
          <w:szCs w:val="24"/>
          <w:rtl/>
        </w:rPr>
        <w:t xml:space="preserve">במכלול האמור לעיל, מצאתי לקבוע כי פוטנציאל השתכרותו של האב אינו נופל מסכום של 13,350 ₪ נטו בחודש. </w:t>
      </w:r>
    </w:p>
    <w:p w:rsidR="00F12B2B" w:rsidRPr="00116BDC" w:rsidRDefault="00F12B2B" w:rsidP="00F12B2B">
      <w:pPr>
        <w:pStyle w:val="af"/>
        <w:rPr>
          <w:rFonts w:ascii="David" w:hAnsi="David" w:cs="David"/>
          <w:sz w:val="24"/>
          <w:szCs w:val="24"/>
        </w:rPr>
      </w:pPr>
    </w:p>
    <w:p w:rsidR="00F12B2B" w:rsidRPr="00116BDC" w:rsidRDefault="00F12B2B" w:rsidP="00F12B2B">
      <w:pPr>
        <w:pStyle w:val="af"/>
        <w:numPr>
          <w:ilvl w:val="0"/>
          <w:numId w:val="1"/>
        </w:numPr>
        <w:tabs>
          <w:tab w:val="left" w:pos="567"/>
        </w:tabs>
        <w:spacing w:after="0" w:line="360" w:lineRule="auto"/>
        <w:ind w:left="567" w:hanging="567"/>
        <w:jc w:val="both"/>
        <w:rPr>
          <w:rFonts w:ascii="David" w:hAnsi="David" w:cs="David"/>
          <w:b/>
          <w:bCs/>
          <w:sz w:val="24"/>
          <w:szCs w:val="24"/>
          <w:rtl/>
        </w:rPr>
      </w:pPr>
      <w:r w:rsidRPr="00116BDC">
        <w:rPr>
          <w:rFonts w:ascii="David" w:hAnsi="David" w:cs="David"/>
          <w:b/>
          <w:bCs/>
          <w:sz w:val="24"/>
          <w:szCs w:val="24"/>
          <w:rtl/>
        </w:rPr>
        <w:t xml:space="preserve">מהמקובץ לעיל עולה, כי יחס הכנסותיהם הפנויות של הצדדים הוא (במעוגל) 56% לאב </w:t>
      </w:r>
      <w:r w:rsidRPr="00116BDC">
        <w:rPr>
          <w:rFonts w:ascii="David" w:hAnsi="David" w:cs="David"/>
          <w:b/>
          <w:bCs/>
          <w:sz w:val="24"/>
          <w:szCs w:val="24"/>
          <w:rtl/>
        </w:rPr>
        <w:br/>
        <w:t>ו-44% לאם.</w:t>
      </w:r>
    </w:p>
    <w:p w:rsidR="00F12B2B" w:rsidRPr="00116BDC" w:rsidRDefault="00F12B2B" w:rsidP="00F12B2B">
      <w:pPr>
        <w:tabs>
          <w:tab w:val="left" w:pos="567"/>
        </w:tabs>
        <w:spacing w:line="360" w:lineRule="auto"/>
        <w:ind w:left="567" w:hanging="567"/>
        <w:jc w:val="both"/>
        <w:rPr>
          <w:rFonts w:ascii="David" w:hAnsi="David"/>
          <w:b/>
          <w:bCs/>
          <w:u w:val="single"/>
          <w:rtl/>
        </w:rPr>
      </w:pPr>
    </w:p>
    <w:p w:rsidR="00484122" w:rsidRPr="00116BDC" w:rsidRDefault="00484122" w:rsidP="00F12B2B">
      <w:pPr>
        <w:tabs>
          <w:tab w:val="left" w:pos="567"/>
        </w:tabs>
        <w:spacing w:line="360" w:lineRule="auto"/>
        <w:ind w:left="567" w:hanging="567"/>
        <w:jc w:val="both"/>
        <w:rPr>
          <w:rFonts w:ascii="David" w:hAnsi="David"/>
          <w:b/>
          <w:bCs/>
          <w:u w:val="single"/>
          <w:rtl/>
        </w:rPr>
      </w:pPr>
    </w:p>
    <w:p w:rsidR="00F12B2B" w:rsidRPr="00116BDC" w:rsidRDefault="00F12B2B" w:rsidP="00F12B2B">
      <w:pPr>
        <w:tabs>
          <w:tab w:val="left" w:pos="567"/>
        </w:tabs>
        <w:spacing w:line="360" w:lineRule="auto"/>
        <w:ind w:left="567" w:hanging="567"/>
        <w:jc w:val="both"/>
        <w:rPr>
          <w:rFonts w:ascii="David" w:hAnsi="David"/>
          <w:b/>
          <w:bCs/>
          <w:u w:val="single"/>
          <w:rtl/>
        </w:rPr>
      </w:pPr>
      <w:r w:rsidRPr="00116BDC">
        <w:rPr>
          <w:rFonts w:ascii="David" w:hAnsi="David"/>
          <w:b/>
          <w:bCs/>
          <w:u w:val="single"/>
          <w:rtl/>
        </w:rPr>
        <w:t>חלוקת  זמני שהות של הקטינים עם ההורים</w:t>
      </w:r>
    </w:p>
    <w:p w:rsidR="00736047" w:rsidRPr="00116BDC" w:rsidRDefault="00736047" w:rsidP="00F12B2B">
      <w:pPr>
        <w:tabs>
          <w:tab w:val="left" w:pos="567"/>
        </w:tabs>
        <w:spacing w:line="360" w:lineRule="auto"/>
        <w:ind w:left="567" w:hanging="567"/>
        <w:jc w:val="both"/>
        <w:rPr>
          <w:rFonts w:ascii="David" w:hAnsi="David"/>
          <w:b/>
          <w:bCs/>
          <w:u w:val="single"/>
          <w:rtl/>
        </w:rPr>
      </w:pPr>
    </w:p>
    <w:p w:rsidR="00F12B2B" w:rsidRPr="00116BDC" w:rsidRDefault="00F12B2B" w:rsidP="00F12B2B">
      <w:pPr>
        <w:pStyle w:val="af"/>
        <w:numPr>
          <w:ilvl w:val="0"/>
          <w:numId w:val="1"/>
        </w:numPr>
        <w:tabs>
          <w:tab w:val="left" w:pos="567"/>
        </w:tabs>
        <w:spacing w:after="0" w:line="360" w:lineRule="auto"/>
        <w:ind w:left="567" w:hanging="567"/>
        <w:jc w:val="both"/>
        <w:rPr>
          <w:rFonts w:ascii="David" w:hAnsi="David" w:cs="David"/>
          <w:sz w:val="24"/>
          <w:szCs w:val="24"/>
          <w:rtl/>
        </w:rPr>
      </w:pPr>
      <w:r w:rsidRPr="00116BDC">
        <w:rPr>
          <w:rFonts w:ascii="David" w:hAnsi="David" w:cs="David"/>
          <w:sz w:val="24"/>
          <w:szCs w:val="24"/>
          <w:rtl/>
        </w:rPr>
        <w:t xml:space="preserve">בפסק דין שניתן ביום 30.4.2023 בהליך הקשור מתחום האחריות ההורית (תלה"מ 5092-03-21) נקבע, על יסוד הסכמת הצדדים, כי ההורים יישאו באחריות הורית משותפת לקטינים וכן נקבע בין היתר, כי האם תיחשב להורה משמורן בכל הנוגע לקבלת קצבאות הקטינים, הטבות מרשויות מקומיות, המוסד לביטוח לאומי וכל גורם אחר, ככל שתתקבלנה. </w:t>
      </w:r>
    </w:p>
    <w:p w:rsidR="00F12B2B" w:rsidRPr="00116BDC" w:rsidRDefault="00F12B2B" w:rsidP="00F12B2B">
      <w:pPr>
        <w:pStyle w:val="af"/>
        <w:tabs>
          <w:tab w:val="left" w:pos="567"/>
        </w:tabs>
        <w:spacing w:after="0" w:line="360" w:lineRule="auto"/>
        <w:ind w:left="567" w:hanging="567"/>
        <w:jc w:val="both"/>
        <w:rPr>
          <w:rFonts w:ascii="David" w:hAnsi="David" w:cs="David"/>
          <w:sz w:val="24"/>
          <w:szCs w:val="24"/>
        </w:rPr>
      </w:pPr>
    </w:p>
    <w:p w:rsidR="00F12B2B" w:rsidRPr="00116BDC" w:rsidRDefault="00F12B2B" w:rsidP="00F12B2B">
      <w:pPr>
        <w:pStyle w:val="af"/>
        <w:tabs>
          <w:tab w:val="left" w:pos="567"/>
        </w:tabs>
        <w:spacing w:after="0" w:line="360" w:lineRule="auto"/>
        <w:ind w:left="567" w:hanging="567"/>
        <w:jc w:val="both"/>
        <w:rPr>
          <w:rFonts w:ascii="David" w:hAnsi="David" w:cs="David"/>
          <w:sz w:val="24"/>
          <w:szCs w:val="24"/>
        </w:rPr>
      </w:pPr>
      <w:r w:rsidRPr="00116BDC">
        <w:rPr>
          <w:rFonts w:ascii="David" w:hAnsi="David" w:cs="David"/>
          <w:sz w:val="24"/>
          <w:szCs w:val="24"/>
          <w:rtl/>
        </w:rPr>
        <w:tab/>
        <w:t xml:space="preserve">עוד נקבע, שהקטינים ילונו אצל האב פעם בשבוע; פעם נוספת בשבוע יתקיים מפגש ללא לינה (מתום המסגרות החינוכיות ועד השעה 19:30) וכן לינה אצל האב בכל סוף שבוע שני מיום שישי ועד ליום ראשון. כן, נקבעה חלוקת זמני שהות שוויונית בחגים והסדר שהות בחופשת הקיץ. </w:t>
      </w:r>
    </w:p>
    <w:p w:rsidR="00F12B2B" w:rsidRPr="00116BDC" w:rsidRDefault="00F12B2B" w:rsidP="00F12B2B">
      <w:pPr>
        <w:pStyle w:val="af"/>
        <w:tabs>
          <w:tab w:val="left" w:pos="567"/>
        </w:tabs>
        <w:spacing w:after="0" w:line="360" w:lineRule="auto"/>
        <w:ind w:left="567" w:hanging="567"/>
        <w:jc w:val="both"/>
        <w:rPr>
          <w:rFonts w:ascii="David" w:hAnsi="David" w:cs="David"/>
          <w:sz w:val="24"/>
          <w:szCs w:val="24"/>
        </w:rPr>
      </w:pPr>
    </w:p>
    <w:p w:rsidR="00F12B2B" w:rsidRPr="00116BDC" w:rsidRDefault="00F12B2B" w:rsidP="00E731CA">
      <w:pPr>
        <w:pStyle w:val="af"/>
        <w:numPr>
          <w:ilvl w:val="0"/>
          <w:numId w:val="1"/>
        </w:numPr>
        <w:tabs>
          <w:tab w:val="left" w:pos="567"/>
        </w:tabs>
        <w:spacing w:after="0" w:line="360" w:lineRule="auto"/>
        <w:ind w:left="567" w:hanging="567"/>
        <w:jc w:val="both"/>
        <w:rPr>
          <w:rFonts w:ascii="David" w:hAnsi="David" w:cs="David"/>
          <w:sz w:val="24"/>
          <w:szCs w:val="24"/>
        </w:rPr>
      </w:pPr>
      <w:r w:rsidRPr="00116BDC">
        <w:rPr>
          <w:rFonts w:ascii="David" w:hAnsi="David" w:cs="David"/>
          <w:sz w:val="24"/>
          <w:szCs w:val="24"/>
          <w:rtl/>
        </w:rPr>
        <w:t xml:space="preserve">יוער, כי מתסקיר העו"ס לסדרי דין ומשמיעת הראיות בהליך הקשור (תלה"מ 5092-03-21) עולה, כי האב אינו אוסף את הקטינים </w:t>
      </w:r>
      <w:r w:rsidR="00E731CA">
        <w:rPr>
          <w:rFonts w:ascii="David" w:hAnsi="David" w:cs="David" w:hint="cs"/>
          <w:sz w:val="24"/>
          <w:szCs w:val="24"/>
          <w:rtl/>
        </w:rPr>
        <w:t>ע'</w:t>
      </w:r>
      <w:r w:rsidRPr="00116BDC">
        <w:rPr>
          <w:rFonts w:ascii="David" w:hAnsi="David" w:cs="David"/>
          <w:sz w:val="24"/>
          <w:szCs w:val="24"/>
          <w:rtl/>
        </w:rPr>
        <w:t xml:space="preserve"> </w:t>
      </w:r>
      <w:r w:rsidR="00E731CA">
        <w:rPr>
          <w:rFonts w:ascii="David" w:hAnsi="David" w:cs="David" w:hint="cs"/>
          <w:sz w:val="24"/>
          <w:szCs w:val="24"/>
          <w:rtl/>
        </w:rPr>
        <w:t>ו-א'</w:t>
      </w:r>
      <w:r w:rsidRPr="00116BDC">
        <w:rPr>
          <w:rFonts w:ascii="David" w:hAnsi="David" w:cs="David"/>
          <w:sz w:val="24"/>
          <w:szCs w:val="24"/>
          <w:rtl/>
        </w:rPr>
        <w:t xml:space="preserve"> מהמסגרות החינוכיות, אלא אוסף אותם מבית האם בשעה 16:00 (ראו: תסקיר העו"ס לסדרי דין מיום 29.9.2022 וכן עמ' 24 לפרוט' מיום 30.4.2023, שורות 26-35 ועמ' 27, שורות 17-13 לפרוטוקול) וכי לעתים אינו מקיים אחר זמני השהות בימים בהם לא מתקיימות מסגרות חינוכיות (ראו: עמ' 26, שורות 18-10 ושורות 28-27 לפרוט'; עמ' 27, שורות 17-13 לפרוטוקול).  </w:t>
      </w:r>
    </w:p>
    <w:p w:rsidR="00F12B2B" w:rsidRPr="00116BDC" w:rsidRDefault="00F12B2B" w:rsidP="00F12B2B">
      <w:pPr>
        <w:pStyle w:val="af"/>
        <w:tabs>
          <w:tab w:val="left" w:pos="567"/>
        </w:tabs>
        <w:spacing w:after="0" w:line="360" w:lineRule="auto"/>
        <w:ind w:left="567"/>
        <w:jc w:val="both"/>
        <w:rPr>
          <w:rFonts w:ascii="David" w:hAnsi="David" w:cs="David"/>
          <w:sz w:val="24"/>
          <w:szCs w:val="24"/>
        </w:rPr>
      </w:pPr>
    </w:p>
    <w:p w:rsidR="00F12B2B" w:rsidRPr="00116BDC" w:rsidRDefault="00F12B2B" w:rsidP="00E731CA">
      <w:pPr>
        <w:pStyle w:val="af"/>
        <w:tabs>
          <w:tab w:val="left" w:pos="567"/>
        </w:tabs>
        <w:spacing w:after="0" w:line="360" w:lineRule="auto"/>
        <w:ind w:left="567"/>
        <w:jc w:val="both"/>
        <w:rPr>
          <w:rFonts w:ascii="David" w:hAnsi="David" w:cs="David"/>
          <w:sz w:val="24"/>
          <w:szCs w:val="24"/>
        </w:rPr>
      </w:pPr>
      <w:r w:rsidRPr="00116BDC">
        <w:rPr>
          <w:rFonts w:ascii="David" w:hAnsi="David" w:cs="David"/>
          <w:sz w:val="24"/>
          <w:szCs w:val="24"/>
          <w:rtl/>
        </w:rPr>
        <w:lastRenderedPageBreak/>
        <w:t xml:space="preserve">האמור נתמך גם בחקירתו של האב בהליך דנן, עת האב העיד כי בימים בהם לא מתקיימת מסגרת חינוכית, הוא לוקח הקטינים לסבתם מצד האם בזמני השהות שלו עמם (ר' עמ' 23, שורות 12-3 לפרוטוקול) וכן כי אינו אוסף את הקטינים </w:t>
      </w:r>
      <w:r w:rsidR="00E731CA">
        <w:rPr>
          <w:rFonts w:ascii="David" w:hAnsi="David" w:cs="David" w:hint="cs"/>
          <w:sz w:val="24"/>
          <w:szCs w:val="24"/>
          <w:rtl/>
        </w:rPr>
        <w:t>ע' ו-א'</w:t>
      </w:r>
      <w:r w:rsidRPr="00116BDC">
        <w:rPr>
          <w:rFonts w:ascii="David" w:hAnsi="David" w:cs="David"/>
          <w:sz w:val="24"/>
          <w:szCs w:val="24"/>
          <w:rtl/>
        </w:rPr>
        <w:t xml:space="preserve"> מהמסגרת החינוכית אלא מהבית בשעה 16:00 (ר' עמ' 18, שורות 34-33 לפרוטוקול). </w:t>
      </w:r>
    </w:p>
    <w:p w:rsidR="00F12B2B" w:rsidRPr="00116BDC" w:rsidRDefault="00F12B2B" w:rsidP="00F12B2B">
      <w:pPr>
        <w:pStyle w:val="af"/>
        <w:tabs>
          <w:tab w:val="left" w:pos="567"/>
        </w:tabs>
        <w:spacing w:after="0" w:line="360" w:lineRule="auto"/>
        <w:ind w:left="567" w:hanging="567"/>
        <w:jc w:val="both"/>
        <w:rPr>
          <w:rFonts w:ascii="David" w:hAnsi="David" w:cs="David"/>
          <w:sz w:val="24"/>
          <w:szCs w:val="24"/>
        </w:rPr>
      </w:pPr>
    </w:p>
    <w:p w:rsidR="00F12B2B" w:rsidRPr="00116BDC" w:rsidRDefault="00F12B2B" w:rsidP="00F12B2B">
      <w:pPr>
        <w:pStyle w:val="af"/>
        <w:numPr>
          <w:ilvl w:val="0"/>
          <w:numId w:val="1"/>
        </w:numPr>
        <w:tabs>
          <w:tab w:val="left" w:pos="567"/>
        </w:tabs>
        <w:spacing w:after="0" w:line="360" w:lineRule="auto"/>
        <w:ind w:left="567" w:hanging="567"/>
        <w:jc w:val="both"/>
        <w:rPr>
          <w:rFonts w:ascii="David" w:hAnsi="David" w:cs="David"/>
          <w:sz w:val="24"/>
          <w:szCs w:val="24"/>
          <w:rtl/>
        </w:rPr>
      </w:pPr>
      <w:r w:rsidRPr="00116BDC">
        <w:rPr>
          <w:rFonts w:ascii="David" w:hAnsi="David" w:cs="David"/>
          <w:sz w:val="24"/>
          <w:szCs w:val="24"/>
          <w:rtl/>
        </w:rPr>
        <w:t xml:space="preserve">מהאמור יוצא אפוא, כי האם נושאת במרבית נטל גידול הקטינים. הקטינים לנים אצל האב 4 לילות מתוך 14 </w:t>
      </w:r>
      <w:r w:rsidRPr="00116BDC">
        <w:rPr>
          <w:rFonts w:ascii="David" w:hAnsi="David" w:cs="David"/>
          <w:b/>
          <w:bCs/>
          <w:sz w:val="24"/>
          <w:szCs w:val="24"/>
          <w:rtl/>
        </w:rPr>
        <w:t>ובחלוקה יחסית של כ-70% (במעוגל) מהזמן אצל האם לעומת כ-30% אצל האב</w:t>
      </w:r>
      <w:r w:rsidRPr="00116BDC">
        <w:rPr>
          <w:rFonts w:ascii="David" w:hAnsi="David" w:cs="David"/>
          <w:sz w:val="24"/>
          <w:szCs w:val="24"/>
          <w:rtl/>
        </w:rPr>
        <w:t xml:space="preserve">. </w:t>
      </w:r>
    </w:p>
    <w:p w:rsidR="00F12B2B" w:rsidRPr="00116BDC" w:rsidRDefault="00F12B2B" w:rsidP="00F12B2B">
      <w:pPr>
        <w:pStyle w:val="af"/>
        <w:tabs>
          <w:tab w:val="left" w:pos="567"/>
        </w:tabs>
        <w:spacing w:after="0" w:line="360" w:lineRule="auto"/>
        <w:ind w:left="567" w:hanging="567"/>
        <w:jc w:val="both"/>
        <w:rPr>
          <w:rFonts w:ascii="David" w:hAnsi="David" w:cs="David"/>
          <w:sz w:val="24"/>
          <w:szCs w:val="24"/>
          <w:rtl/>
        </w:rPr>
      </w:pPr>
    </w:p>
    <w:p w:rsidR="00484122" w:rsidRPr="00116BDC" w:rsidRDefault="00484122" w:rsidP="00F12B2B">
      <w:pPr>
        <w:tabs>
          <w:tab w:val="left" w:pos="567"/>
        </w:tabs>
        <w:spacing w:line="360" w:lineRule="auto"/>
        <w:ind w:left="567" w:hanging="567"/>
        <w:jc w:val="both"/>
        <w:rPr>
          <w:rFonts w:ascii="David" w:hAnsi="David"/>
          <w:b/>
          <w:bCs/>
          <w:u w:val="single"/>
          <w:rtl/>
        </w:rPr>
      </w:pPr>
    </w:p>
    <w:p w:rsidR="00F12B2B" w:rsidRPr="00116BDC" w:rsidRDefault="00F12B2B" w:rsidP="00F12B2B">
      <w:pPr>
        <w:tabs>
          <w:tab w:val="left" w:pos="567"/>
        </w:tabs>
        <w:spacing w:line="360" w:lineRule="auto"/>
        <w:ind w:left="567" w:hanging="567"/>
        <w:jc w:val="both"/>
        <w:rPr>
          <w:rFonts w:ascii="David" w:hAnsi="David"/>
          <w:b/>
          <w:bCs/>
          <w:u w:val="single"/>
          <w:rtl/>
        </w:rPr>
      </w:pPr>
      <w:r w:rsidRPr="00116BDC">
        <w:rPr>
          <w:rFonts w:ascii="David" w:hAnsi="David"/>
          <w:b/>
          <w:bCs/>
          <w:u w:val="single"/>
          <w:rtl/>
        </w:rPr>
        <w:t>צרכי הקטינים</w:t>
      </w:r>
    </w:p>
    <w:p w:rsidR="00F12B2B" w:rsidRPr="00116BDC" w:rsidRDefault="00F12B2B" w:rsidP="00F12B2B">
      <w:pPr>
        <w:pStyle w:val="af"/>
        <w:tabs>
          <w:tab w:val="left" w:pos="567"/>
        </w:tabs>
        <w:spacing w:after="0" w:line="360" w:lineRule="auto"/>
        <w:ind w:left="567" w:hanging="567"/>
        <w:jc w:val="both"/>
        <w:rPr>
          <w:rFonts w:ascii="David" w:hAnsi="David" w:cs="David"/>
          <w:sz w:val="24"/>
          <w:szCs w:val="24"/>
          <w:rtl/>
        </w:rPr>
      </w:pPr>
    </w:p>
    <w:p w:rsidR="00F12B2B" w:rsidRPr="00116BDC" w:rsidRDefault="00F12B2B" w:rsidP="00E731CA">
      <w:pPr>
        <w:pStyle w:val="10"/>
        <w:numPr>
          <w:ilvl w:val="0"/>
          <w:numId w:val="1"/>
        </w:numPr>
        <w:tabs>
          <w:tab w:val="left" w:pos="509"/>
          <w:tab w:val="left" w:pos="567"/>
        </w:tabs>
        <w:spacing w:line="360" w:lineRule="auto"/>
        <w:ind w:left="567" w:hanging="567"/>
        <w:jc w:val="both"/>
        <w:rPr>
          <w:rFonts w:ascii="David" w:hAnsi="David"/>
        </w:rPr>
      </w:pPr>
      <w:r w:rsidRPr="00116BDC">
        <w:rPr>
          <w:rFonts w:ascii="David" w:hAnsi="David"/>
          <w:rtl/>
        </w:rPr>
        <w:t xml:space="preserve">התובעת אמדה בסיכומיה את הוצאות הקטינים </w:t>
      </w:r>
      <w:r w:rsidR="00E731CA">
        <w:rPr>
          <w:rFonts w:ascii="David" w:hAnsi="David" w:hint="cs"/>
          <w:rtl/>
        </w:rPr>
        <w:t>ע'</w:t>
      </w:r>
      <w:r w:rsidRPr="00116BDC">
        <w:rPr>
          <w:rFonts w:ascii="David" w:hAnsi="David"/>
          <w:rtl/>
        </w:rPr>
        <w:t xml:space="preserve">, </w:t>
      </w:r>
      <w:r w:rsidR="00E731CA">
        <w:rPr>
          <w:rFonts w:ascii="David" w:hAnsi="David" w:hint="cs"/>
          <w:rtl/>
        </w:rPr>
        <w:t xml:space="preserve">א' </w:t>
      </w:r>
      <w:r w:rsidRPr="00116BDC">
        <w:rPr>
          <w:rFonts w:ascii="David" w:hAnsi="David"/>
          <w:rtl/>
        </w:rPr>
        <w:t>ו</w:t>
      </w:r>
      <w:r w:rsidR="00E731CA">
        <w:rPr>
          <w:rFonts w:ascii="David" w:hAnsi="David" w:hint="cs"/>
          <w:rtl/>
        </w:rPr>
        <w:t>-נ'</w:t>
      </w:r>
      <w:r w:rsidRPr="00116BDC">
        <w:rPr>
          <w:rFonts w:ascii="David" w:hAnsi="David"/>
          <w:rtl/>
        </w:rPr>
        <w:t xml:space="preserve"> בסכום של 1,650 ₪ לכל קטין ואת הוצאות הקטין </w:t>
      </w:r>
      <w:r w:rsidR="00E731CA">
        <w:rPr>
          <w:rFonts w:ascii="David" w:hAnsi="David" w:hint="cs"/>
          <w:rtl/>
        </w:rPr>
        <w:t>י'</w:t>
      </w:r>
      <w:r w:rsidRPr="00116BDC">
        <w:rPr>
          <w:rFonts w:ascii="David" w:hAnsi="David"/>
          <w:rtl/>
        </w:rPr>
        <w:t xml:space="preserve"> בסכום של 1,800 ₪ (לא כולל הוצאות מדור ואחזקתו ולא כולל הוצאות חינוך והוצאות רפואיות חריגות ודמי טיפול), בהתאם לפירוט להלן: הוצאות כלכלה – 700 ₪ לקטין; הוצאות ביגוד – בסך של 300 ₪ עבור כל אחד מהקטינים </w:t>
      </w:r>
      <w:r w:rsidR="00E731CA">
        <w:rPr>
          <w:rFonts w:ascii="David" w:hAnsi="David" w:hint="cs"/>
          <w:rtl/>
        </w:rPr>
        <w:t xml:space="preserve">ע' </w:t>
      </w:r>
      <w:r w:rsidRPr="00116BDC">
        <w:rPr>
          <w:rFonts w:ascii="David" w:hAnsi="David"/>
          <w:rtl/>
        </w:rPr>
        <w:t xml:space="preserve">, </w:t>
      </w:r>
      <w:r w:rsidR="00E731CA">
        <w:rPr>
          <w:rFonts w:ascii="David" w:hAnsi="David" w:hint="cs"/>
          <w:rtl/>
        </w:rPr>
        <w:t>א'</w:t>
      </w:r>
      <w:r w:rsidRPr="00116BDC">
        <w:rPr>
          <w:rFonts w:ascii="David" w:hAnsi="David"/>
          <w:rtl/>
        </w:rPr>
        <w:t xml:space="preserve"> ו</w:t>
      </w:r>
      <w:r w:rsidR="00E731CA">
        <w:rPr>
          <w:rFonts w:ascii="David" w:hAnsi="David" w:hint="cs"/>
          <w:rtl/>
        </w:rPr>
        <w:t>-</w:t>
      </w:r>
      <w:r w:rsidRPr="00116BDC">
        <w:rPr>
          <w:rFonts w:ascii="David" w:hAnsi="David"/>
          <w:rtl/>
        </w:rPr>
        <w:t>נ</w:t>
      </w:r>
      <w:r w:rsidR="00E731CA">
        <w:rPr>
          <w:rFonts w:ascii="David" w:hAnsi="David" w:hint="cs"/>
          <w:rtl/>
        </w:rPr>
        <w:t>'</w:t>
      </w:r>
      <w:r w:rsidRPr="00116BDC">
        <w:rPr>
          <w:rFonts w:ascii="David" w:hAnsi="David"/>
          <w:rtl/>
        </w:rPr>
        <w:t xml:space="preserve">, ובסך של 450 ₪ עבור הקטין </w:t>
      </w:r>
      <w:r w:rsidR="00E731CA">
        <w:rPr>
          <w:rFonts w:ascii="David" w:hAnsi="David" w:hint="cs"/>
          <w:rtl/>
        </w:rPr>
        <w:t>י'</w:t>
      </w:r>
      <w:r w:rsidRPr="00116BDC">
        <w:rPr>
          <w:rFonts w:ascii="David" w:hAnsi="David"/>
          <w:rtl/>
        </w:rPr>
        <w:t xml:space="preserve">; הוצאות בגין תרבות, בילויים, ספרים וצעצועים בסך של כ-150 ₪ לחודש עבור כל קטין; הוצאות נסיעה בסך של כ-100 ₪ עבור כל קטין; הוצאות בגין מספרה וטיפוח – 50 ₪ לקטין; הוצאות בלתי צפויות / חידוש ריהוט – 200 ₪ עבור כל קטין. כן עתרה האם לחיוב האב בדמי טיפול בגין הקטינים שטרם מלאו להם 6 במועד הגשת סיכומיה </w:t>
      </w:r>
      <w:r w:rsidR="00E731CA">
        <w:rPr>
          <w:rFonts w:ascii="David" w:hAnsi="David"/>
          <w:rtl/>
        </w:rPr>
        <w:t>–</w:t>
      </w:r>
      <w:r w:rsidRPr="00116BDC">
        <w:rPr>
          <w:rFonts w:ascii="David" w:hAnsi="David"/>
          <w:rtl/>
        </w:rPr>
        <w:t xml:space="preserve"> </w:t>
      </w:r>
      <w:r w:rsidR="00731B20">
        <w:rPr>
          <w:rFonts w:ascii="David" w:hAnsi="David" w:hint="cs"/>
          <w:rtl/>
        </w:rPr>
        <w:t>נ</w:t>
      </w:r>
      <w:r w:rsidR="00731B20">
        <w:rPr>
          <w:rFonts w:ascii="David" w:hAnsi="David"/>
          <w:rtl/>
        </w:rPr>
        <w:t>'</w:t>
      </w:r>
      <w:r w:rsidRPr="00116BDC">
        <w:rPr>
          <w:rFonts w:ascii="David" w:hAnsi="David"/>
          <w:rtl/>
        </w:rPr>
        <w:t xml:space="preserve"> ו</w:t>
      </w:r>
      <w:r w:rsidR="00E731CA">
        <w:rPr>
          <w:rFonts w:ascii="David" w:hAnsi="David" w:hint="cs"/>
          <w:rtl/>
        </w:rPr>
        <w:t>-</w:t>
      </w:r>
      <w:r w:rsidRPr="00116BDC">
        <w:rPr>
          <w:rFonts w:ascii="David" w:hAnsi="David"/>
          <w:rtl/>
        </w:rPr>
        <w:t>י</w:t>
      </w:r>
      <w:r w:rsidR="00E731CA">
        <w:rPr>
          <w:rFonts w:ascii="David" w:hAnsi="David" w:hint="cs"/>
          <w:rtl/>
        </w:rPr>
        <w:t xml:space="preserve">' </w:t>
      </w:r>
      <w:r w:rsidRPr="00116BDC">
        <w:rPr>
          <w:rFonts w:ascii="David" w:hAnsi="David"/>
          <w:rtl/>
        </w:rPr>
        <w:t xml:space="preserve">- בסך של 500 ₪ לחודש עבור כל קטין. </w:t>
      </w:r>
    </w:p>
    <w:p w:rsidR="00F12B2B" w:rsidRPr="00116BDC" w:rsidRDefault="00F12B2B" w:rsidP="00F12B2B">
      <w:pPr>
        <w:pStyle w:val="10"/>
        <w:tabs>
          <w:tab w:val="left" w:pos="509"/>
          <w:tab w:val="left" w:pos="567"/>
        </w:tabs>
        <w:spacing w:line="360" w:lineRule="auto"/>
        <w:ind w:left="567"/>
        <w:jc w:val="both"/>
        <w:rPr>
          <w:rFonts w:ascii="David" w:hAnsi="David"/>
        </w:rPr>
      </w:pPr>
    </w:p>
    <w:p w:rsidR="00F12B2B" w:rsidRPr="00116BDC" w:rsidRDefault="00F12B2B" w:rsidP="00F12B2B">
      <w:pPr>
        <w:pStyle w:val="10"/>
        <w:tabs>
          <w:tab w:val="left" w:pos="509"/>
          <w:tab w:val="left" w:pos="567"/>
        </w:tabs>
        <w:spacing w:line="360" w:lineRule="auto"/>
        <w:ind w:left="567"/>
        <w:jc w:val="both"/>
        <w:rPr>
          <w:rFonts w:ascii="David" w:hAnsi="David"/>
          <w:rtl/>
        </w:rPr>
      </w:pPr>
      <w:r w:rsidRPr="00116BDC">
        <w:rPr>
          <w:rFonts w:ascii="David" w:hAnsi="David"/>
          <w:rtl/>
        </w:rPr>
        <w:t xml:space="preserve">עוד עתרה התובעת לחייב הנתבע בתשלום הוצאות מדור ואחזקתו בסך 3,180 ₪ (2,400+780) לחודש ובמחצית הוצאות החינוך וההוצאות הרפואיות החריגות של הקטינים.  </w:t>
      </w:r>
    </w:p>
    <w:p w:rsidR="00F12B2B" w:rsidRPr="00116BDC" w:rsidRDefault="00F12B2B" w:rsidP="00F12B2B">
      <w:pPr>
        <w:pStyle w:val="10"/>
        <w:tabs>
          <w:tab w:val="left" w:pos="509"/>
          <w:tab w:val="left" w:pos="567"/>
        </w:tabs>
        <w:spacing w:line="360" w:lineRule="auto"/>
        <w:ind w:left="567"/>
        <w:jc w:val="both"/>
        <w:rPr>
          <w:rFonts w:ascii="David" w:hAnsi="David"/>
          <w:rtl/>
        </w:rPr>
      </w:pPr>
    </w:p>
    <w:p w:rsidR="00F12B2B" w:rsidRPr="00116BDC" w:rsidRDefault="00F12B2B" w:rsidP="009616C3">
      <w:pPr>
        <w:pStyle w:val="10"/>
        <w:tabs>
          <w:tab w:val="left" w:pos="509"/>
          <w:tab w:val="left" w:pos="567"/>
        </w:tabs>
        <w:spacing w:line="360" w:lineRule="auto"/>
        <w:ind w:left="567"/>
        <w:jc w:val="both"/>
        <w:rPr>
          <w:rFonts w:ascii="David" w:hAnsi="David"/>
          <w:rtl/>
        </w:rPr>
      </w:pPr>
      <w:r w:rsidRPr="00116BDC">
        <w:rPr>
          <w:rFonts w:ascii="David" w:hAnsi="David"/>
          <w:rtl/>
        </w:rPr>
        <w:t xml:space="preserve">כבר לעת הזו ייאמר, כי </w:t>
      </w:r>
      <w:r w:rsidR="009616C3" w:rsidRPr="00116BDC">
        <w:rPr>
          <w:rFonts w:ascii="David" w:hAnsi="David" w:hint="cs"/>
          <w:rtl/>
        </w:rPr>
        <w:t xml:space="preserve">הן </w:t>
      </w:r>
      <w:r w:rsidRPr="00116BDC">
        <w:rPr>
          <w:rFonts w:ascii="David" w:hAnsi="David"/>
          <w:rtl/>
        </w:rPr>
        <w:t>התובעת</w:t>
      </w:r>
      <w:r w:rsidR="009616C3" w:rsidRPr="00116BDC">
        <w:rPr>
          <w:rFonts w:ascii="David" w:hAnsi="David" w:hint="cs"/>
          <w:rtl/>
        </w:rPr>
        <w:t xml:space="preserve"> והן</w:t>
      </w:r>
      <w:r w:rsidRPr="00116BDC">
        <w:rPr>
          <w:rFonts w:ascii="David" w:hAnsi="David"/>
          <w:rtl/>
        </w:rPr>
        <w:t xml:space="preserve"> הנתבע לא מצאו להבחין בכתבי טענותיהם בפירוט הצרכים בין צרכים תלויי שהות לצרכים שאינם תלויי שהות, הגם שראוי ונכון היה כי יעשו כן, בשים לב להבחנה בעניין נטל החיוב ביחס לכל אחד מהם. לצד זאת, ייאמר, כי לאור רכיבי הצרכים הנתבעים ושיעורם, עולה כי חלק הארי של הצרכים הינם צרכים תלויי שהות. </w:t>
      </w:r>
    </w:p>
    <w:p w:rsidR="00F12B2B" w:rsidRPr="00116BDC" w:rsidRDefault="00F12B2B" w:rsidP="00F12B2B">
      <w:pPr>
        <w:tabs>
          <w:tab w:val="left" w:pos="567"/>
          <w:tab w:val="left" w:pos="7654"/>
        </w:tabs>
        <w:spacing w:line="360" w:lineRule="auto"/>
        <w:ind w:left="567" w:hanging="567"/>
        <w:jc w:val="both"/>
        <w:rPr>
          <w:rFonts w:ascii="David" w:hAnsi="David"/>
        </w:rPr>
      </w:pPr>
    </w:p>
    <w:p w:rsidR="00F12B2B" w:rsidRPr="00116BDC" w:rsidRDefault="00F12B2B" w:rsidP="009616C3">
      <w:pPr>
        <w:pStyle w:val="af"/>
        <w:numPr>
          <w:ilvl w:val="0"/>
          <w:numId w:val="1"/>
        </w:numPr>
        <w:tabs>
          <w:tab w:val="left" w:pos="567"/>
        </w:tabs>
        <w:spacing w:after="0" w:line="360" w:lineRule="auto"/>
        <w:ind w:left="567" w:hanging="567"/>
        <w:jc w:val="both"/>
        <w:rPr>
          <w:rFonts w:ascii="David" w:hAnsi="David" w:cs="David"/>
          <w:sz w:val="24"/>
          <w:szCs w:val="24"/>
          <w:rtl/>
        </w:rPr>
      </w:pPr>
      <w:r w:rsidRPr="00116BDC">
        <w:rPr>
          <w:rFonts w:ascii="David" w:hAnsi="David" w:cs="David"/>
          <w:sz w:val="24"/>
          <w:szCs w:val="24"/>
          <w:rtl/>
        </w:rPr>
        <w:t xml:space="preserve">לטענת הנתבע, הסכומים הנתבעים מופרזים ומוגזמים ולא נתמכים בכל אסמכתא מתאימה ואין בהם כדי לשקף הוצאותיהם של הקטינים בפועל. כך למשל, טוען הנתבע, כי עתירת התובעת לתשלום סך של 2,800 בגין הוצאות כלכלת הקטינים מופרזת, עת מהאסמכתאות שצורפו עולה כי הוצאות הכלכלה מסתכמות לסכום כולל של 2,333 ₪ בלבד לתקופה בת 3 חודשים (ובסך של 777.96 ₪ לחודש), וכאשר הוצאות אלו כוללות גם את הוצאות הכלכלה של התובעת עצמה. באופן דומה, טען הנתבע, כי גם הצרכים הנוספים שנטענים – ביגוד והנעלה, </w:t>
      </w:r>
      <w:r w:rsidRPr="00116BDC">
        <w:rPr>
          <w:rFonts w:ascii="David" w:hAnsi="David" w:cs="David"/>
          <w:sz w:val="24"/>
          <w:szCs w:val="24"/>
          <w:rtl/>
        </w:rPr>
        <w:lastRenderedPageBreak/>
        <w:t>תרבות, נסיעות, ריהוט וטיפוח – נתבעו, כאמור, על</w:t>
      </w:r>
      <w:r w:rsidR="00E731CA">
        <w:rPr>
          <w:rFonts w:ascii="David" w:hAnsi="David" w:cs="David"/>
          <w:sz w:val="24"/>
          <w:szCs w:val="24"/>
          <w:rtl/>
        </w:rPr>
        <w:t xml:space="preserve"> דרך ההפרזה ולא נתמכו בכל אסמכת</w:t>
      </w:r>
      <w:r w:rsidR="00E731CA">
        <w:rPr>
          <w:rFonts w:ascii="David" w:hAnsi="David" w:cs="David" w:hint="cs"/>
          <w:sz w:val="24"/>
          <w:szCs w:val="24"/>
          <w:rtl/>
        </w:rPr>
        <w:t>א</w:t>
      </w:r>
      <w:r w:rsidRPr="00116BDC">
        <w:rPr>
          <w:rFonts w:ascii="David" w:hAnsi="David" w:cs="David"/>
          <w:sz w:val="24"/>
          <w:szCs w:val="24"/>
          <w:rtl/>
        </w:rPr>
        <w:t xml:space="preserve"> מתאימה. </w:t>
      </w:r>
    </w:p>
    <w:p w:rsidR="00F12B2B" w:rsidRPr="00116BDC" w:rsidRDefault="00F12B2B" w:rsidP="00F12B2B">
      <w:pPr>
        <w:pStyle w:val="10"/>
        <w:tabs>
          <w:tab w:val="left" w:pos="509"/>
          <w:tab w:val="left" w:pos="567"/>
        </w:tabs>
        <w:spacing w:line="360" w:lineRule="auto"/>
        <w:ind w:left="567"/>
        <w:jc w:val="both"/>
        <w:rPr>
          <w:rFonts w:ascii="David" w:hAnsi="David"/>
        </w:rPr>
      </w:pPr>
    </w:p>
    <w:p w:rsidR="00F12B2B" w:rsidRPr="00116BDC" w:rsidRDefault="00F12B2B" w:rsidP="00F12B2B">
      <w:pPr>
        <w:pStyle w:val="10"/>
        <w:numPr>
          <w:ilvl w:val="0"/>
          <w:numId w:val="1"/>
        </w:numPr>
        <w:tabs>
          <w:tab w:val="left" w:pos="509"/>
          <w:tab w:val="left" w:pos="567"/>
        </w:tabs>
        <w:spacing w:line="360" w:lineRule="auto"/>
        <w:ind w:left="567" w:hanging="567"/>
        <w:jc w:val="both"/>
        <w:rPr>
          <w:rFonts w:ascii="David" w:hAnsi="David"/>
        </w:rPr>
      </w:pPr>
      <w:r w:rsidRPr="00116BDC">
        <w:rPr>
          <w:rFonts w:ascii="David" w:hAnsi="David"/>
          <w:rtl/>
        </w:rPr>
        <w:t xml:space="preserve"> </w:t>
      </w:r>
      <w:r w:rsidRPr="00116BDC">
        <w:rPr>
          <w:rFonts w:ascii="David" w:hAnsi="David" w:hint="cs"/>
          <w:rtl/>
        </w:rPr>
        <w:t xml:space="preserve">נפסק, כי תביעת מזונות היא תביעה כספית שיש להוכיח ככל תביעה אחרת. אלא שגם מקום בו לא מוכחים מלוא הצרכים, פוסקים בתי המשפט מזונות לפי שיקול דעתם והערכה של הצרכים הסבירים והראויים, שהרי יושבים הם בתוך עמם (ראו: </w:t>
      </w:r>
      <w:hyperlink r:id="rId13" w:history="1">
        <w:r w:rsidRPr="00116BDC">
          <w:rPr>
            <w:rStyle w:val="Hyperlink"/>
            <w:rFonts w:ascii="David" w:hAnsi="David"/>
            <w:color w:val="auto"/>
            <w:u w:val="none"/>
            <w:rtl/>
          </w:rPr>
          <w:t>ע"א 687/83</w:t>
        </w:r>
      </w:hyperlink>
      <w:r w:rsidRPr="00116BDC">
        <w:rPr>
          <w:rFonts w:ascii="David" w:hAnsi="David"/>
          <w:rtl/>
        </w:rPr>
        <w:t xml:space="preserve"> </w:t>
      </w:r>
      <w:r w:rsidRPr="00116BDC">
        <w:rPr>
          <w:rFonts w:ascii="David" w:hAnsi="David" w:hint="cs"/>
          <w:b/>
          <w:bCs/>
          <w:rtl/>
        </w:rPr>
        <w:t>מזור נ' מזור</w:t>
      </w:r>
      <w:r w:rsidRPr="00116BDC">
        <w:rPr>
          <w:rFonts w:ascii="David" w:hAnsi="David" w:hint="cs"/>
          <w:rtl/>
        </w:rPr>
        <w:t xml:space="preserve">, פ"ד לח (3) 29, 33; </w:t>
      </w:r>
      <w:hyperlink r:id="rId14" w:history="1">
        <w:r w:rsidRPr="00116BDC">
          <w:rPr>
            <w:rStyle w:val="Hyperlink"/>
            <w:rFonts w:ascii="David" w:hAnsi="David"/>
            <w:color w:val="auto"/>
            <w:u w:val="none"/>
            <w:rtl/>
          </w:rPr>
          <w:t>ע"א 130/85</w:t>
        </w:r>
      </w:hyperlink>
      <w:r w:rsidRPr="00116BDC">
        <w:rPr>
          <w:rFonts w:ascii="David" w:hAnsi="David"/>
          <w:rtl/>
        </w:rPr>
        <w:t xml:space="preserve"> </w:t>
      </w:r>
      <w:r w:rsidRPr="00116BDC">
        <w:rPr>
          <w:rFonts w:ascii="David" w:hAnsi="David" w:hint="cs"/>
          <w:b/>
          <w:bCs/>
          <w:rtl/>
        </w:rPr>
        <w:t>ניסים סבן כהן נ' שמעון כהן</w:t>
      </w:r>
      <w:r w:rsidRPr="00116BDC">
        <w:rPr>
          <w:rFonts w:ascii="David" w:hAnsi="David" w:hint="cs"/>
          <w:rtl/>
        </w:rPr>
        <w:t xml:space="preserve">, פ"ד מ(1) 69; </w:t>
      </w:r>
      <w:hyperlink r:id="rId15" w:history="1">
        <w:r w:rsidRPr="00116BDC">
          <w:rPr>
            <w:rStyle w:val="Hyperlink"/>
            <w:rFonts w:ascii="David" w:hAnsi="David"/>
            <w:color w:val="auto"/>
            <w:u w:val="none"/>
            <w:rtl/>
          </w:rPr>
          <w:t>ע"א 93/85</w:t>
        </w:r>
      </w:hyperlink>
      <w:r w:rsidRPr="00116BDC">
        <w:rPr>
          <w:rFonts w:ascii="David" w:hAnsi="David"/>
          <w:rtl/>
        </w:rPr>
        <w:t xml:space="preserve"> </w:t>
      </w:r>
      <w:r w:rsidRPr="00116BDC">
        <w:rPr>
          <w:rFonts w:ascii="David" w:hAnsi="David" w:hint="cs"/>
          <w:b/>
          <w:bCs/>
          <w:rtl/>
        </w:rPr>
        <w:t>שגב נ' שגב</w:t>
      </w:r>
      <w:r w:rsidRPr="00116BDC">
        <w:rPr>
          <w:rFonts w:ascii="David" w:hAnsi="David" w:hint="cs"/>
          <w:rtl/>
        </w:rPr>
        <w:t>, פ"ד לט(3) 822, 825).</w:t>
      </w:r>
    </w:p>
    <w:p w:rsidR="00F12B2B" w:rsidRPr="00116BDC" w:rsidRDefault="00F12B2B" w:rsidP="00F12B2B">
      <w:pPr>
        <w:pStyle w:val="af"/>
        <w:rPr>
          <w:rFonts w:ascii="David" w:hAnsi="David"/>
        </w:rPr>
      </w:pPr>
    </w:p>
    <w:p w:rsidR="00F12B2B" w:rsidRPr="00116BDC" w:rsidRDefault="00F12B2B" w:rsidP="00F12B2B">
      <w:pPr>
        <w:pStyle w:val="10"/>
        <w:numPr>
          <w:ilvl w:val="0"/>
          <w:numId w:val="1"/>
        </w:numPr>
        <w:tabs>
          <w:tab w:val="left" w:pos="509"/>
          <w:tab w:val="left" w:pos="567"/>
        </w:tabs>
        <w:spacing w:line="360" w:lineRule="auto"/>
        <w:ind w:left="567" w:hanging="567"/>
        <w:jc w:val="both"/>
        <w:rPr>
          <w:rFonts w:ascii="David" w:hAnsi="David"/>
          <w:rtl/>
        </w:rPr>
      </w:pPr>
      <w:r w:rsidRPr="00116BDC">
        <w:rPr>
          <w:rFonts w:ascii="David" w:hAnsi="David"/>
          <w:rtl/>
        </w:rPr>
        <w:t xml:space="preserve">בעבר הוערך שיעור המזונות ההכרחיים המינימלי לקטין בסך של 1,300-1,400 ₪ לחודש (ראו בר"ע (ת"א) 1895/02 </w:t>
      </w:r>
      <w:r w:rsidRPr="00116BDC">
        <w:rPr>
          <w:rFonts w:ascii="David" w:hAnsi="David"/>
          <w:b/>
          <w:bCs/>
          <w:rtl/>
        </w:rPr>
        <w:t>ב.י. נ' ב.נ</w:t>
      </w:r>
      <w:r w:rsidRPr="00116BDC">
        <w:rPr>
          <w:rFonts w:ascii="David" w:hAnsi="David"/>
          <w:rtl/>
        </w:rPr>
        <w:t xml:space="preserve">. [פורסם בנבו] (2003); עמ (ירושלים) 658/04 </w:t>
      </w:r>
      <w:r w:rsidRPr="00116BDC">
        <w:rPr>
          <w:rFonts w:ascii="David" w:hAnsi="David"/>
          <w:b/>
          <w:bCs/>
          <w:rtl/>
        </w:rPr>
        <w:t xml:space="preserve">ס.א.כ. נ' ט.ש.כ. </w:t>
      </w:r>
      <w:r w:rsidRPr="00116BDC">
        <w:rPr>
          <w:rFonts w:ascii="David" w:hAnsi="David"/>
          <w:rtl/>
        </w:rPr>
        <w:t xml:space="preserve">[פורסם בנבו] (2005) ועוד רבים אחרים), אלא שלימים סבר בית המשפט כי נוכח חלוף הזמן יש מקום לעדכון הסכומים הנ"ל והעמידם בשיעור של 1,600 ₪ - 1,700 ₪ לחודש ואף למעלה מכך (ראו עמ"ש (ת"א) 46291-01-16 </w:t>
      </w:r>
      <w:r w:rsidRPr="00116BDC">
        <w:rPr>
          <w:rFonts w:ascii="David" w:hAnsi="David"/>
          <w:b/>
          <w:bCs/>
          <w:rtl/>
        </w:rPr>
        <w:t>פלונית נ' פלוני</w:t>
      </w:r>
      <w:r w:rsidRPr="00116BDC">
        <w:rPr>
          <w:rFonts w:ascii="David" w:hAnsi="David"/>
          <w:rtl/>
        </w:rPr>
        <w:t xml:space="preserve"> [פורסם בנבו] (2017) וכן עמ"ש 1057/09 </w:t>
      </w:r>
      <w:r w:rsidRPr="00116BDC">
        <w:rPr>
          <w:rFonts w:ascii="David" w:hAnsi="David"/>
          <w:b/>
          <w:bCs/>
          <w:rtl/>
        </w:rPr>
        <w:t>פלונים נ' פלונים</w:t>
      </w:r>
      <w:r w:rsidRPr="00116BDC">
        <w:rPr>
          <w:rFonts w:ascii="David" w:hAnsi="David"/>
          <w:rtl/>
        </w:rPr>
        <w:t xml:space="preserve"> [פורסם בנבו] (2010)). יוער, כי הסכומים הנ"ל מתייחסים לצרכים ההכרחיים בלבד, וגם זאת על הצד המינימלי. </w:t>
      </w:r>
    </w:p>
    <w:p w:rsidR="00F12B2B" w:rsidRPr="00116BDC" w:rsidRDefault="00F12B2B" w:rsidP="00F12B2B">
      <w:pPr>
        <w:pStyle w:val="af"/>
        <w:rPr>
          <w:rFonts w:ascii="David" w:hAnsi="David"/>
        </w:rPr>
      </w:pPr>
    </w:p>
    <w:p w:rsidR="00F12B2B" w:rsidRPr="00116BDC" w:rsidRDefault="00F12B2B" w:rsidP="00F12B2B">
      <w:pPr>
        <w:pStyle w:val="af"/>
        <w:tabs>
          <w:tab w:val="left" w:pos="567"/>
        </w:tabs>
        <w:spacing w:line="360" w:lineRule="auto"/>
        <w:ind w:left="567"/>
        <w:jc w:val="both"/>
        <w:rPr>
          <w:rFonts w:ascii="David" w:hAnsi="David" w:cs="David"/>
          <w:sz w:val="24"/>
          <w:szCs w:val="24"/>
          <w:rtl/>
        </w:rPr>
      </w:pPr>
      <w:r w:rsidRPr="00116BDC">
        <w:rPr>
          <w:rFonts w:ascii="David" w:hAnsi="David" w:cs="David"/>
          <w:sz w:val="24"/>
          <w:szCs w:val="24"/>
          <w:rtl/>
        </w:rPr>
        <w:t xml:space="preserve">על סכומים דומים חזרו במספר פסקי דין שעסקו בקטין שהורגל לרמת חיים "רגילה" ושאינו מתגורר בשני בתים. בין היתר, ראו </w:t>
      </w:r>
      <w:hyperlink r:id="rId16" w:history="1">
        <w:r w:rsidRPr="00116BDC">
          <w:rPr>
            <w:rStyle w:val="Hyperlink"/>
            <w:rFonts w:ascii="David" w:hAnsi="David" w:cs="David"/>
            <w:color w:val="auto"/>
            <w:sz w:val="24"/>
            <w:szCs w:val="24"/>
            <w:u w:val="none"/>
            <w:rtl/>
          </w:rPr>
          <w:t>עמ"ש (תל אביב) 12792-10-19</w:t>
        </w:r>
      </w:hyperlink>
      <w:r w:rsidRPr="00116BDC">
        <w:rPr>
          <w:rFonts w:ascii="David" w:hAnsi="David" w:cs="David"/>
          <w:sz w:val="24"/>
          <w:szCs w:val="24"/>
          <w:rtl/>
        </w:rPr>
        <w:t xml:space="preserve"> </w:t>
      </w:r>
      <w:r w:rsidRPr="00116BDC">
        <w:rPr>
          <w:rFonts w:ascii="David" w:hAnsi="David" w:cs="David" w:hint="cs"/>
          <w:b/>
          <w:bCs/>
          <w:sz w:val="24"/>
          <w:szCs w:val="24"/>
          <w:rtl/>
        </w:rPr>
        <w:t xml:space="preserve">ע.נ. נ' ע.ע.נ. </w:t>
      </w:r>
      <w:r w:rsidRPr="00116BDC">
        <w:rPr>
          <w:rFonts w:ascii="David" w:hAnsi="David" w:cs="David" w:hint="cs"/>
          <w:sz w:val="24"/>
          <w:szCs w:val="24"/>
          <w:rtl/>
        </w:rPr>
        <w:t xml:space="preserve">מיום 27.10.2020; </w:t>
      </w:r>
      <w:hyperlink r:id="rId17" w:history="1">
        <w:r w:rsidRPr="00116BDC">
          <w:rPr>
            <w:rStyle w:val="Hyperlink"/>
            <w:rFonts w:ascii="David" w:hAnsi="David" w:cs="David"/>
            <w:color w:val="auto"/>
            <w:sz w:val="24"/>
            <w:szCs w:val="24"/>
            <w:u w:val="none"/>
            <w:rtl/>
          </w:rPr>
          <w:t>עמ"ש (מרכז) 65692-11-19</w:t>
        </w:r>
      </w:hyperlink>
      <w:r w:rsidRPr="00116BDC">
        <w:rPr>
          <w:rFonts w:ascii="David" w:hAnsi="David" w:cs="David"/>
          <w:sz w:val="24"/>
          <w:szCs w:val="24"/>
          <w:rtl/>
        </w:rPr>
        <w:t xml:space="preserve"> </w:t>
      </w:r>
      <w:r w:rsidRPr="00116BDC">
        <w:rPr>
          <w:rFonts w:ascii="David" w:hAnsi="David" w:cs="David" w:hint="cs"/>
          <w:b/>
          <w:bCs/>
          <w:sz w:val="24"/>
          <w:szCs w:val="24"/>
          <w:rtl/>
        </w:rPr>
        <w:t>ד.ס. נ' ל.צ.ס</w:t>
      </w:r>
      <w:r w:rsidRPr="00116BDC">
        <w:rPr>
          <w:rFonts w:ascii="David" w:hAnsi="David" w:cs="David" w:hint="cs"/>
          <w:sz w:val="24"/>
          <w:szCs w:val="24"/>
          <w:rtl/>
        </w:rPr>
        <w:t xml:space="preserve">; </w:t>
      </w:r>
      <w:hyperlink r:id="rId18" w:history="1">
        <w:r w:rsidRPr="00116BDC">
          <w:rPr>
            <w:rStyle w:val="Hyperlink"/>
            <w:rFonts w:ascii="David" w:hAnsi="David" w:cs="David"/>
            <w:color w:val="auto"/>
            <w:sz w:val="24"/>
            <w:szCs w:val="24"/>
            <w:u w:val="none"/>
            <w:rtl/>
          </w:rPr>
          <w:t>עמ"ש (חיפה) 56000-10-18</w:t>
        </w:r>
      </w:hyperlink>
      <w:r w:rsidRPr="00116BDC">
        <w:rPr>
          <w:rFonts w:ascii="David" w:hAnsi="David" w:cs="David"/>
          <w:sz w:val="24"/>
          <w:szCs w:val="24"/>
          <w:rtl/>
        </w:rPr>
        <w:t xml:space="preserve"> </w:t>
      </w:r>
      <w:r w:rsidRPr="00116BDC">
        <w:rPr>
          <w:rFonts w:ascii="David" w:hAnsi="David" w:cs="David" w:hint="cs"/>
          <w:b/>
          <w:bCs/>
          <w:sz w:val="24"/>
          <w:szCs w:val="24"/>
          <w:rtl/>
        </w:rPr>
        <w:t>פלוני נ' פלונית</w:t>
      </w:r>
      <w:r w:rsidRPr="00116BDC">
        <w:rPr>
          <w:rFonts w:ascii="David" w:hAnsi="David" w:cs="David" w:hint="cs"/>
          <w:sz w:val="24"/>
          <w:szCs w:val="24"/>
          <w:rtl/>
        </w:rPr>
        <w:t>.</w:t>
      </w:r>
    </w:p>
    <w:p w:rsidR="00F12B2B" w:rsidRPr="00116BDC" w:rsidRDefault="00F12B2B" w:rsidP="00F12B2B">
      <w:pPr>
        <w:pStyle w:val="af"/>
        <w:rPr>
          <w:rFonts w:ascii="David" w:hAnsi="David"/>
        </w:rPr>
      </w:pPr>
    </w:p>
    <w:p w:rsidR="00F12B2B" w:rsidRPr="00116BDC" w:rsidRDefault="00F12B2B" w:rsidP="009616C3">
      <w:pPr>
        <w:pStyle w:val="10"/>
        <w:numPr>
          <w:ilvl w:val="0"/>
          <w:numId w:val="1"/>
        </w:numPr>
        <w:tabs>
          <w:tab w:val="left" w:pos="567"/>
        </w:tabs>
        <w:spacing w:line="360" w:lineRule="auto"/>
        <w:ind w:left="567" w:hanging="567"/>
        <w:jc w:val="both"/>
        <w:rPr>
          <w:rFonts w:ascii="David" w:hAnsi="David"/>
          <w:rtl/>
        </w:rPr>
      </w:pPr>
      <w:r w:rsidRPr="00116BDC">
        <w:rPr>
          <w:rFonts w:ascii="David" w:hAnsi="David"/>
          <w:rtl/>
        </w:rPr>
        <w:t xml:space="preserve">ברם, בפסיקה מאוחרת יותר נקבע כי מאז הלכת בע"מ 919/15, אין עוד מקום לחלק בין צרכים הכרחיים לאלו שאינם כאלה, ויש לאמור את הצרכים בכללותם. בפסק דינו של כב' השופט צ' ויצמן במסגרת רמ"ש (מחוזי מרכז) 59188-10-18 </w:t>
      </w:r>
      <w:r w:rsidRPr="00116BDC">
        <w:rPr>
          <w:rFonts w:ascii="David" w:hAnsi="David"/>
          <w:b/>
          <w:bCs/>
          <w:rtl/>
        </w:rPr>
        <w:t>י.נ. נ' א.נ.</w:t>
      </w:r>
      <w:r w:rsidRPr="00116BDC">
        <w:rPr>
          <w:rFonts w:ascii="David" w:hAnsi="David"/>
          <w:rtl/>
        </w:rPr>
        <w:t xml:space="preserve"> [פורסם בנבו] נקבע שצרכיו של קטין המתגורר בשני בתים עולים מטעם הדברים על צרכיו של קטין המתגורר בבית אחד, נוכח הכפילויות הנדרשות לגבי חלק מן ההוצאות. כב' השופט ויצמן אף סבר כי ראוי שהערכה זו תעלה למצער על הסך של 2,250 ₪ לחודש. בעמ"ש (מחוזי מרכז) 5121-05-20 </w:t>
      </w:r>
      <w:r w:rsidRPr="00116BDC">
        <w:rPr>
          <w:rFonts w:ascii="David" w:hAnsi="David"/>
          <w:b/>
          <w:bCs/>
          <w:rtl/>
        </w:rPr>
        <w:t>י.ג. נ' נ.ג.</w:t>
      </w:r>
      <w:r w:rsidRPr="00116BDC">
        <w:rPr>
          <w:rFonts w:ascii="David" w:hAnsi="David"/>
          <w:rtl/>
        </w:rPr>
        <w:t xml:space="preserve"> הובהר, כי סכומים אלו כוללים את חלקו של הקטין באחזקת מדור, להבדיל מחלקו בעלות מדור. פסיקה זו סוייגה ביום 13.2.2023 בעמ"ש 59345-11-22 בגדרו קבע בית המשפט המחוזי חיפה, שהסכום 2,250 ₪ שנקבע בבית המשפט המחוזי מרכז אינו מתאים למחוז חיפה והצפון נוכח ההבדלים המשמעותיים שקיימים בעלויות המחייה באזור המרכז. </w:t>
      </w:r>
    </w:p>
    <w:p w:rsidR="00F12B2B" w:rsidRPr="00116BDC" w:rsidRDefault="00F12B2B" w:rsidP="00F12B2B">
      <w:pPr>
        <w:pStyle w:val="af"/>
        <w:rPr>
          <w:rFonts w:ascii="David" w:hAnsi="David"/>
        </w:rPr>
      </w:pPr>
    </w:p>
    <w:p w:rsidR="00F12B2B" w:rsidRPr="00116BDC" w:rsidRDefault="00F12B2B" w:rsidP="009616C3">
      <w:pPr>
        <w:pStyle w:val="10"/>
        <w:numPr>
          <w:ilvl w:val="0"/>
          <w:numId w:val="1"/>
        </w:numPr>
        <w:tabs>
          <w:tab w:val="left" w:pos="567"/>
        </w:tabs>
        <w:spacing w:line="360" w:lineRule="auto"/>
        <w:ind w:left="567" w:hanging="567"/>
        <w:jc w:val="both"/>
        <w:rPr>
          <w:rFonts w:ascii="David" w:hAnsi="David"/>
          <w:rtl/>
        </w:rPr>
      </w:pPr>
      <w:r w:rsidRPr="00116BDC">
        <w:rPr>
          <w:rFonts w:ascii="David" w:hAnsi="David"/>
          <w:rtl/>
        </w:rPr>
        <w:t>יוער, כי הסכומים שנקבעו לעיל כפופים ל</w:t>
      </w:r>
      <w:r w:rsidRPr="00116BDC">
        <w:rPr>
          <w:rFonts w:ascii="David" w:hAnsi="David"/>
          <w:b/>
          <w:bCs/>
          <w:rtl/>
        </w:rPr>
        <w:t>הלכת ורד</w:t>
      </w:r>
      <w:r w:rsidRPr="00116BDC">
        <w:rPr>
          <w:rFonts w:ascii="David" w:hAnsi="David"/>
          <w:rtl/>
        </w:rPr>
        <w:t xml:space="preserve"> (ע"א 552/87 </w:t>
      </w:r>
      <w:r w:rsidRPr="00116BDC">
        <w:rPr>
          <w:rFonts w:ascii="David" w:hAnsi="David"/>
          <w:b/>
          <w:bCs/>
          <w:rtl/>
        </w:rPr>
        <w:t>ורד נ' ורד</w:t>
      </w:r>
      <w:r w:rsidRPr="00116BDC">
        <w:rPr>
          <w:rFonts w:ascii="David" w:hAnsi="David"/>
          <w:rtl/>
        </w:rPr>
        <w:t xml:space="preserve">, פ"ד מב(3) 594), בה נקבע, כי כשמדובר ביותר מקטין אחר, סכום המזונות אינו נקבע באופן לינארי, דהיינו, אין </w:t>
      </w:r>
      <w:r w:rsidRPr="00116BDC">
        <w:rPr>
          <w:rFonts w:ascii="David" w:hAnsi="David"/>
          <w:rtl/>
        </w:rPr>
        <w:lastRenderedPageBreak/>
        <w:t xml:space="preserve">לחשב מזונותיהם של מספר ילדים כמכפלה בגובה צרכיו של ילד אחד, בשים לב לתוספת השולית הפוחתת. </w:t>
      </w:r>
    </w:p>
    <w:p w:rsidR="00F12B2B" w:rsidRPr="00116BDC" w:rsidRDefault="00F12B2B" w:rsidP="00F12B2B">
      <w:pPr>
        <w:pStyle w:val="af"/>
        <w:rPr>
          <w:rFonts w:ascii="David" w:hAnsi="David"/>
        </w:rPr>
      </w:pPr>
    </w:p>
    <w:p w:rsidR="00F12B2B" w:rsidRPr="00116BDC" w:rsidRDefault="00F12B2B" w:rsidP="009616C3">
      <w:pPr>
        <w:pStyle w:val="10"/>
        <w:numPr>
          <w:ilvl w:val="0"/>
          <w:numId w:val="1"/>
        </w:numPr>
        <w:tabs>
          <w:tab w:val="left" w:pos="567"/>
        </w:tabs>
        <w:spacing w:line="360" w:lineRule="auto"/>
        <w:ind w:left="567" w:hanging="567"/>
        <w:jc w:val="both"/>
        <w:rPr>
          <w:rFonts w:ascii="David" w:hAnsi="David"/>
          <w:rtl/>
        </w:rPr>
      </w:pPr>
      <w:r w:rsidRPr="00116BDC">
        <w:rPr>
          <w:rFonts w:ascii="David" w:hAnsi="David"/>
          <w:rtl/>
        </w:rPr>
        <w:t>ומכאן לנדוננו.</w:t>
      </w:r>
    </w:p>
    <w:p w:rsidR="00F12B2B" w:rsidRPr="00116BDC" w:rsidRDefault="00F12B2B" w:rsidP="009616C3">
      <w:pPr>
        <w:pStyle w:val="10"/>
        <w:tabs>
          <w:tab w:val="left" w:pos="567"/>
        </w:tabs>
        <w:spacing w:line="360" w:lineRule="auto"/>
        <w:jc w:val="both"/>
        <w:rPr>
          <w:rFonts w:ascii="David" w:hAnsi="David"/>
        </w:rPr>
      </w:pPr>
    </w:p>
    <w:p w:rsidR="00F12B2B" w:rsidRPr="00116BDC" w:rsidRDefault="00F12B2B" w:rsidP="009616C3">
      <w:pPr>
        <w:pStyle w:val="10"/>
        <w:numPr>
          <w:ilvl w:val="0"/>
          <w:numId w:val="1"/>
        </w:numPr>
        <w:tabs>
          <w:tab w:val="left" w:pos="567"/>
        </w:tabs>
        <w:spacing w:line="360" w:lineRule="auto"/>
        <w:ind w:left="567" w:hanging="567"/>
        <w:jc w:val="both"/>
        <w:rPr>
          <w:rFonts w:ascii="David" w:hAnsi="David"/>
        </w:rPr>
      </w:pPr>
      <w:r w:rsidRPr="00116BDC">
        <w:rPr>
          <w:rFonts w:ascii="David" w:hAnsi="David"/>
          <w:rtl/>
        </w:rPr>
        <w:t>טענות התובעת ביחס לצרכי הקטינים כמפורט לעיל - לא הוכחו. מהראיות עולה, כי רכיבי המזונות לא נתמכו באסמכתאות מתאימות להוכחת היקף ההוצאה הנטענת ובחלקם – אף לא ביחס לעצם ההוצאה.</w:t>
      </w:r>
    </w:p>
    <w:p w:rsidR="00F12B2B" w:rsidRPr="00116BDC" w:rsidRDefault="00F12B2B" w:rsidP="009616C3">
      <w:pPr>
        <w:pStyle w:val="af"/>
        <w:tabs>
          <w:tab w:val="left" w:pos="567"/>
        </w:tabs>
        <w:spacing w:line="360" w:lineRule="auto"/>
        <w:ind w:left="567" w:hanging="567"/>
        <w:rPr>
          <w:rFonts w:ascii="David" w:hAnsi="David"/>
        </w:rPr>
      </w:pPr>
    </w:p>
    <w:p w:rsidR="00F12B2B" w:rsidRPr="00116BDC" w:rsidRDefault="00F12B2B" w:rsidP="00E731CA">
      <w:pPr>
        <w:pStyle w:val="10"/>
        <w:tabs>
          <w:tab w:val="left" w:pos="509"/>
          <w:tab w:val="left" w:pos="567"/>
        </w:tabs>
        <w:spacing w:line="360" w:lineRule="auto"/>
        <w:ind w:left="567"/>
        <w:jc w:val="both"/>
        <w:rPr>
          <w:rFonts w:ascii="David" w:hAnsi="David"/>
          <w:rtl/>
        </w:rPr>
      </w:pPr>
      <w:r w:rsidRPr="00116BDC">
        <w:rPr>
          <w:rFonts w:ascii="David" w:hAnsi="David"/>
          <w:rtl/>
        </w:rPr>
        <w:t>אמנם, לתצהיר עדותה הראשית צירפה התובעת אסמכתאות שונות להוכחת טענותיה בדבר צרכי הקטינים, אך עם זאת, מעיון במסמכים לא מצאתי אסמכת</w:t>
      </w:r>
      <w:r w:rsidR="00E731CA">
        <w:rPr>
          <w:rFonts w:ascii="David" w:hAnsi="David" w:hint="cs"/>
          <w:rtl/>
        </w:rPr>
        <w:t>א</w:t>
      </w:r>
      <w:r w:rsidRPr="00116BDC">
        <w:rPr>
          <w:rFonts w:ascii="David" w:hAnsi="David"/>
          <w:rtl/>
        </w:rPr>
        <w:t xml:space="preserve"> התומכת בגובה ההוצאות הנטענות עבור הקטינים. אף מתדפיסי כרטיס האשראי ותדפיסי חשבון הבנק שבבעלות האם לא ניתן ללמוד מהן ההוצאות עבור הקטינים, במובחן מהוצאותיה שלה. </w:t>
      </w:r>
    </w:p>
    <w:p w:rsidR="00F12B2B" w:rsidRPr="00116BDC" w:rsidRDefault="00F12B2B" w:rsidP="00F12B2B">
      <w:pPr>
        <w:pStyle w:val="10"/>
        <w:tabs>
          <w:tab w:val="left" w:pos="509"/>
          <w:tab w:val="left" w:pos="567"/>
        </w:tabs>
        <w:spacing w:line="360" w:lineRule="auto"/>
        <w:ind w:left="567" w:hanging="567"/>
        <w:jc w:val="both"/>
        <w:rPr>
          <w:rFonts w:ascii="David" w:hAnsi="David"/>
          <w:rtl/>
        </w:rPr>
      </w:pPr>
    </w:p>
    <w:p w:rsidR="00F12B2B" w:rsidRPr="00116BDC" w:rsidRDefault="00F12B2B" w:rsidP="009616C3">
      <w:pPr>
        <w:pStyle w:val="10"/>
        <w:numPr>
          <w:ilvl w:val="0"/>
          <w:numId w:val="1"/>
        </w:numPr>
        <w:tabs>
          <w:tab w:val="left" w:pos="567"/>
        </w:tabs>
        <w:spacing w:line="360" w:lineRule="auto"/>
        <w:ind w:left="567" w:hanging="567"/>
        <w:jc w:val="both"/>
        <w:rPr>
          <w:rFonts w:ascii="David" w:hAnsi="David"/>
        </w:rPr>
      </w:pPr>
      <w:r w:rsidRPr="00116BDC">
        <w:rPr>
          <w:rFonts w:ascii="David" w:hAnsi="David"/>
          <w:rtl/>
        </w:rPr>
        <w:t>למעשה, מהות רכיבי המזונות הנתבעים, כשלעצמם, מעידים על רמת חיים שאינה גבוהה כלל ועיקר. בהקשר זה יש לציין, כי אין חולק שעד ל-4/2019 התגוררו הצדדים וילדיהם הקטינים בחדר בבית אמו של האב (ר' עמ' 15 לפרוט' מיום 22.11.2022, שורות 7-2). בנסיבות אלו, סבורני כי אין מדובר במשפחה אשר הורגלה לחיות ברמת חיים גבוהה.</w:t>
      </w:r>
    </w:p>
    <w:p w:rsidR="00F12B2B" w:rsidRPr="00116BDC" w:rsidRDefault="00F12B2B" w:rsidP="00F12B2B">
      <w:pPr>
        <w:pStyle w:val="10"/>
        <w:tabs>
          <w:tab w:val="left" w:pos="509"/>
          <w:tab w:val="left" w:pos="567"/>
        </w:tabs>
        <w:spacing w:line="360" w:lineRule="auto"/>
        <w:ind w:left="567"/>
        <w:jc w:val="both"/>
        <w:rPr>
          <w:rFonts w:ascii="David" w:hAnsi="David"/>
        </w:rPr>
      </w:pPr>
    </w:p>
    <w:p w:rsidR="00F12B2B" w:rsidRPr="00116BDC" w:rsidRDefault="00F12B2B" w:rsidP="00E731CA">
      <w:pPr>
        <w:pStyle w:val="10"/>
        <w:numPr>
          <w:ilvl w:val="0"/>
          <w:numId w:val="1"/>
        </w:numPr>
        <w:tabs>
          <w:tab w:val="left" w:pos="509"/>
          <w:tab w:val="left" w:pos="567"/>
        </w:tabs>
        <w:spacing w:line="360" w:lineRule="auto"/>
        <w:ind w:left="567" w:hanging="567"/>
        <w:jc w:val="both"/>
        <w:rPr>
          <w:rFonts w:ascii="David" w:hAnsi="David"/>
        </w:rPr>
      </w:pPr>
      <w:r w:rsidRPr="00116BDC">
        <w:rPr>
          <w:rFonts w:ascii="David" w:hAnsi="David"/>
          <w:rtl/>
        </w:rPr>
        <w:t xml:space="preserve">בעדותו, אישר הנתבע, בקירוב, את גובה ההוצאות הנטענות ביחס להוצאות הכלכלה והביגוד וההנעלה. כך למשל, אמד את הוצאותיו בגין כלכלה בסך של 3,000 ₪ בחודש והדגיש כי חלקו ברכיב זה "כמעט אפסי" וכי אינו יודע לאמוד את הוצאות הכלכלה של הקטינים (ר' עמ' 21 לפרוטוקול, שורות 23-17). עוד העיד הנתבע, כי הוצאות הביגוד וההנעלה של  </w:t>
      </w:r>
      <w:r w:rsidR="00E731CA">
        <w:rPr>
          <w:rFonts w:ascii="David" w:hAnsi="David" w:hint="cs"/>
          <w:rtl/>
        </w:rPr>
        <w:t>ע'</w:t>
      </w:r>
      <w:r w:rsidRPr="00116BDC">
        <w:rPr>
          <w:rFonts w:ascii="David" w:hAnsi="David"/>
          <w:rtl/>
        </w:rPr>
        <w:t xml:space="preserve"> נאמדות בסכום של 3,000 -4,000 ₪ בשנה, של </w:t>
      </w:r>
      <w:r w:rsidR="00E731CA">
        <w:rPr>
          <w:rFonts w:ascii="David" w:hAnsi="David" w:hint="cs"/>
          <w:rtl/>
        </w:rPr>
        <w:t>א'</w:t>
      </w:r>
      <w:r w:rsidRPr="00116BDC">
        <w:rPr>
          <w:rFonts w:ascii="David" w:hAnsi="David"/>
          <w:rtl/>
        </w:rPr>
        <w:t xml:space="preserve"> – כ-3,000 ₪ </w:t>
      </w:r>
      <w:r w:rsidR="00E731CA">
        <w:rPr>
          <w:rFonts w:ascii="David" w:hAnsi="David" w:hint="cs"/>
          <w:rtl/>
        </w:rPr>
        <w:t xml:space="preserve">ושל י' </w:t>
      </w:r>
      <w:r w:rsidRPr="00116BDC">
        <w:rPr>
          <w:rFonts w:ascii="David" w:hAnsi="David"/>
          <w:rtl/>
        </w:rPr>
        <w:t xml:space="preserve"> – כ-2,000 ₪. </w:t>
      </w:r>
    </w:p>
    <w:p w:rsidR="00F12B2B" w:rsidRPr="00E731CA" w:rsidRDefault="00F12B2B" w:rsidP="00F12B2B">
      <w:pPr>
        <w:pStyle w:val="10"/>
        <w:tabs>
          <w:tab w:val="left" w:pos="509"/>
          <w:tab w:val="left" w:pos="567"/>
        </w:tabs>
        <w:spacing w:line="360" w:lineRule="auto"/>
        <w:ind w:left="567" w:hanging="567"/>
        <w:jc w:val="both"/>
        <w:rPr>
          <w:rFonts w:ascii="David" w:hAnsi="David"/>
        </w:rPr>
      </w:pPr>
    </w:p>
    <w:p w:rsidR="00F12B2B" w:rsidRPr="00116BDC" w:rsidRDefault="00F12B2B" w:rsidP="00F12B2B">
      <w:pPr>
        <w:pStyle w:val="af"/>
        <w:numPr>
          <w:ilvl w:val="0"/>
          <w:numId w:val="1"/>
        </w:numPr>
        <w:tabs>
          <w:tab w:val="left" w:pos="567"/>
        </w:tabs>
        <w:spacing w:after="0" w:line="360" w:lineRule="auto"/>
        <w:ind w:left="567" w:hanging="567"/>
        <w:jc w:val="both"/>
        <w:rPr>
          <w:rFonts w:ascii="David" w:hAnsi="David" w:cs="David"/>
          <w:sz w:val="24"/>
          <w:szCs w:val="24"/>
        </w:rPr>
      </w:pPr>
      <w:r w:rsidRPr="00116BDC">
        <w:rPr>
          <w:rFonts w:ascii="David" w:hAnsi="David" w:cs="David"/>
          <w:sz w:val="24"/>
          <w:szCs w:val="24"/>
          <w:rtl/>
        </w:rPr>
        <w:t xml:space="preserve">בנסיבות בהן שני הצדדים כשלו בהוכחת צרכיהם המדויקים של הקטינים, אין מנוס אלא לאמוד את צרכיהם על פי התרשמות המבוססת על מארג הראיות, ובהתאם לסמכות בית המשפט כשופט היושב בקרב עמו, לאור ניסיון החיים ובשים לב ליכולת הכלכלית של ההורים (ע"א 93/85 </w:t>
      </w:r>
      <w:r w:rsidRPr="00116BDC">
        <w:rPr>
          <w:rFonts w:ascii="David" w:hAnsi="David" w:cs="David"/>
          <w:b/>
          <w:bCs/>
          <w:sz w:val="24"/>
          <w:szCs w:val="24"/>
          <w:rtl/>
        </w:rPr>
        <w:t>שגב נ' שגב</w:t>
      </w:r>
      <w:r w:rsidRPr="00116BDC">
        <w:rPr>
          <w:rFonts w:ascii="David" w:hAnsi="David" w:cs="David"/>
          <w:sz w:val="24"/>
          <w:szCs w:val="24"/>
          <w:rtl/>
        </w:rPr>
        <w:t xml:space="preserve">, פ"ד לט(3) 822). </w:t>
      </w:r>
    </w:p>
    <w:p w:rsidR="00F12B2B" w:rsidRPr="00116BDC" w:rsidRDefault="00F12B2B" w:rsidP="00F12B2B">
      <w:pPr>
        <w:pStyle w:val="af"/>
        <w:rPr>
          <w:rFonts w:ascii="David" w:hAnsi="David" w:cs="David"/>
          <w:sz w:val="24"/>
          <w:szCs w:val="24"/>
        </w:rPr>
      </w:pPr>
    </w:p>
    <w:p w:rsidR="00F12B2B" w:rsidRPr="00116BDC" w:rsidRDefault="00F12B2B" w:rsidP="00F12B2B">
      <w:pPr>
        <w:pStyle w:val="af"/>
        <w:numPr>
          <w:ilvl w:val="0"/>
          <w:numId w:val="1"/>
        </w:numPr>
        <w:tabs>
          <w:tab w:val="left" w:pos="567"/>
        </w:tabs>
        <w:spacing w:after="0" w:line="360" w:lineRule="auto"/>
        <w:ind w:left="567" w:hanging="567"/>
        <w:jc w:val="both"/>
        <w:rPr>
          <w:rFonts w:ascii="David" w:hAnsi="David" w:cs="David"/>
          <w:sz w:val="24"/>
          <w:szCs w:val="24"/>
          <w:rtl/>
        </w:rPr>
      </w:pPr>
      <w:r w:rsidRPr="00116BDC">
        <w:rPr>
          <w:rFonts w:ascii="David" w:hAnsi="David" w:cs="David"/>
          <w:sz w:val="24"/>
          <w:szCs w:val="24"/>
          <w:rtl/>
        </w:rPr>
        <w:t>בענייננו, אין מדובר בקטינים המתגוררים בשני בתים או מקיימים זמני שהות רחבים עם האב</w:t>
      </w:r>
      <w:r w:rsidRPr="00116BDC">
        <w:rPr>
          <w:rFonts w:ascii="FrankRuehl" w:hAnsi="FrankRuehl" w:cs="FrankRuehl"/>
          <w:sz w:val="28"/>
          <w:szCs w:val="28"/>
        </w:rPr>
        <w:t>.</w:t>
      </w:r>
      <w:r w:rsidRPr="00116BDC">
        <w:rPr>
          <w:rFonts w:ascii="FrankRuehl" w:hAnsi="FrankRuehl" w:cs="FrankRuehl"/>
          <w:sz w:val="28"/>
          <w:szCs w:val="28"/>
          <w:rtl/>
        </w:rPr>
        <w:t xml:space="preserve"> </w:t>
      </w:r>
      <w:r w:rsidRPr="00116BDC">
        <w:rPr>
          <w:rFonts w:ascii="David" w:hAnsi="David" w:cs="David"/>
          <w:sz w:val="24"/>
          <w:szCs w:val="24"/>
          <w:rtl/>
        </w:rPr>
        <w:t xml:space="preserve">על פי הנתונים שהובאו והכנסות ההורים, כפי שפורטו להלן, שוכנעתי כי רמת החיים אליה הורגלו הקטינים היא רמת חיים שאינה גבוהה, ומשכך </w:t>
      </w:r>
      <w:r w:rsidRPr="00116BDC">
        <w:rPr>
          <w:rFonts w:ascii="David" w:hAnsi="David" w:cs="David"/>
          <w:b/>
          <w:bCs/>
          <w:sz w:val="24"/>
          <w:szCs w:val="24"/>
          <w:rtl/>
        </w:rPr>
        <w:t>אני אומדת את צרכי כל קטין</w:t>
      </w:r>
      <w:r w:rsidRPr="00116BDC">
        <w:rPr>
          <w:rFonts w:ascii="David" w:hAnsi="David" w:cs="David"/>
          <w:sz w:val="24"/>
          <w:szCs w:val="24"/>
          <w:rtl/>
        </w:rPr>
        <w:t xml:space="preserve"> </w:t>
      </w:r>
      <w:r w:rsidRPr="00116BDC">
        <w:rPr>
          <w:rFonts w:ascii="David" w:hAnsi="David" w:cs="David"/>
          <w:b/>
          <w:bCs/>
          <w:sz w:val="24"/>
          <w:szCs w:val="24"/>
          <w:rtl/>
        </w:rPr>
        <w:t xml:space="preserve">בסך של 1,400 ₪ לחודש, לא כולל הוצאות מדור ואחזקתו ולא כולל הוצאות חינוך והוצאות רפואיות חריגות, </w:t>
      </w:r>
      <w:r w:rsidRPr="00116BDC">
        <w:rPr>
          <w:rFonts w:ascii="David" w:hAnsi="David" w:cs="David"/>
          <w:sz w:val="24"/>
          <w:szCs w:val="24"/>
          <w:rtl/>
        </w:rPr>
        <w:t xml:space="preserve">ובהתאם לפירוט להלן: כלכלה – 700 ₪, ביגוד והנעלה – 250 ₪, מספרה וטיפוח – 50 </w:t>
      </w:r>
      <w:r w:rsidRPr="00116BDC">
        <w:rPr>
          <w:rFonts w:ascii="David" w:hAnsi="David" w:cs="David"/>
          <w:sz w:val="24"/>
          <w:szCs w:val="24"/>
          <w:rtl/>
        </w:rPr>
        <w:lastRenderedPageBreak/>
        <w:t>₪, הוצאות רפואיות שוטפות, קופת חולים, לרבות מוצרי היגיינה ופארם – 100 ₪, הוצאות תרבות, ספרים, בילויים, אירועים ומתנות לאירועים, ימי הולדת וכיו"ב – 150 ₪, נסיעות / החזקת רכב – 100 ₪, הוצאות בלתי צפויות, חידוש ריהוט וציוד – 50 ש"ח.</w:t>
      </w:r>
    </w:p>
    <w:p w:rsidR="00F12B2B" w:rsidRPr="00116BDC" w:rsidRDefault="00F12B2B" w:rsidP="00F12B2B">
      <w:pPr>
        <w:pStyle w:val="af"/>
        <w:tabs>
          <w:tab w:val="left" w:pos="567"/>
        </w:tabs>
        <w:spacing w:line="360" w:lineRule="auto"/>
        <w:ind w:left="567" w:hanging="567"/>
        <w:jc w:val="both"/>
        <w:rPr>
          <w:rFonts w:ascii="David" w:hAnsi="David" w:cs="David"/>
          <w:sz w:val="24"/>
          <w:szCs w:val="24"/>
        </w:rPr>
      </w:pPr>
    </w:p>
    <w:p w:rsidR="00F12B2B" w:rsidRPr="00116BDC" w:rsidRDefault="00F12B2B" w:rsidP="00E731CA">
      <w:pPr>
        <w:pStyle w:val="af"/>
        <w:numPr>
          <w:ilvl w:val="0"/>
          <w:numId w:val="1"/>
        </w:numPr>
        <w:tabs>
          <w:tab w:val="left" w:pos="567"/>
        </w:tabs>
        <w:spacing w:line="360" w:lineRule="auto"/>
        <w:ind w:left="567" w:hanging="567"/>
        <w:jc w:val="both"/>
        <w:rPr>
          <w:rFonts w:ascii="David" w:hAnsi="David" w:cs="David"/>
          <w:sz w:val="24"/>
          <w:szCs w:val="24"/>
          <w:rtl/>
        </w:rPr>
      </w:pPr>
      <w:r w:rsidRPr="00116BDC">
        <w:rPr>
          <w:rFonts w:ascii="David" w:hAnsi="David" w:cs="David"/>
          <w:sz w:val="24"/>
          <w:szCs w:val="24"/>
          <w:rtl/>
        </w:rPr>
        <w:t xml:space="preserve">נוכח הדין האישי החל, מאחר והקטין </w:t>
      </w:r>
      <w:r w:rsidR="00E731CA">
        <w:rPr>
          <w:rFonts w:ascii="David" w:hAnsi="David" w:cs="David" w:hint="cs"/>
          <w:sz w:val="24"/>
          <w:szCs w:val="24"/>
          <w:rtl/>
        </w:rPr>
        <w:t>י'</w:t>
      </w:r>
      <w:r w:rsidRPr="00116BDC">
        <w:rPr>
          <w:rFonts w:ascii="David" w:hAnsi="David" w:cs="David"/>
          <w:sz w:val="24"/>
          <w:szCs w:val="24"/>
          <w:rtl/>
        </w:rPr>
        <w:t xml:space="preserve"> מתחת לגיל 6, האב, כאמור, חב לבדו בצרכיו ההכרחיים של הקטין, עד הגיעו לגיל 6 שנים. </w:t>
      </w:r>
    </w:p>
    <w:p w:rsidR="00F12B2B" w:rsidRPr="00116BDC" w:rsidRDefault="00F12B2B" w:rsidP="00F12B2B">
      <w:pPr>
        <w:pStyle w:val="af"/>
        <w:tabs>
          <w:tab w:val="left" w:pos="567"/>
        </w:tabs>
        <w:ind w:left="567" w:hanging="567"/>
        <w:rPr>
          <w:rFonts w:ascii="David" w:hAnsi="David" w:cs="David"/>
          <w:sz w:val="24"/>
          <w:szCs w:val="24"/>
        </w:rPr>
      </w:pPr>
    </w:p>
    <w:p w:rsidR="00F12B2B" w:rsidRPr="00116BDC" w:rsidRDefault="00F12B2B" w:rsidP="00E731CA">
      <w:pPr>
        <w:pStyle w:val="af"/>
        <w:tabs>
          <w:tab w:val="left" w:pos="567"/>
        </w:tabs>
        <w:spacing w:line="360" w:lineRule="auto"/>
        <w:ind w:left="567"/>
        <w:jc w:val="both"/>
        <w:rPr>
          <w:rFonts w:ascii="David" w:hAnsi="David" w:cs="David"/>
          <w:sz w:val="24"/>
          <w:szCs w:val="24"/>
          <w:rtl/>
        </w:rPr>
      </w:pPr>
      <w:r w:rsidRPr="00116BDC">
        <w:rPr>
          <w:rFonts w:ascii="David" w:hAnsi="David" w:cs="David"/>
          <w:sz w:val="24"/>
          <w:szCs w:val="24"/>
          <w:rtl/>
        </w:rPr>
        <w:t xml:space="preserve">אשר לצרכי הקטינים </w:t>
      </w:r>
      <w:r w:rsidR="00E731CA">
        <w:rPr>
          <w:rFonts w:ascii="David" w:hAnsi="David" w:cs="David" w:hint="cs"/>
          <w:sz w:val="24"/>
          <w:szCs w:val="24"/>
          <w:rtl/>
        </w:rPr>
        <w:t>ע'</w:t>
      </w:r>
      <w:r w:rsidRPr="00116BDC">
        <w:rPr>
          <w:rFonts w:ascii="David" w:hAnsi="David" w:cs="David"/>
          <w:sz w:val="24"/>
          <w:szCs w:val="24"/>
          <w:rtl/>
        </w:rPr>
        <w:t>, א</w:t>
      </w:r>
      <w:r w:rsidR="00E731CA">
        <w:rPr>
          <w:rFonts w:ascii="David" w:hAnsi="David" w:cs="David" w:hint="cs"/>
          <w:sz w:val="24"/>
          <w:szCs w:val="24"/>
          <w:rtl/>
        </w:rPr>
        <w:t xml:space="preserve">' </w:t>
      </w:r>
      <w:r w:rsidRPr="00116BDC">
        <w:rPr>
          <w:rFonts w:ascii="David" w:hAnsi="David" w:cs="David"/>
          <w:sz w:val="24"/>
          <w:szCs w:val="24"/>
          <w:rtl/>
        </w:rPr>
        <w:t>ו</w:t>
      </w:r>
      <w:r w:rsidR="00E731CA">
        <w:rPr>
          <w:rFonts w:ascii="David" w:hAnsi="David" w:cs="David" w:hint="cs"/>
          <w:sz w:val="24"/>
          <w:szCs w:val="24"/>
          <w:rtl/>
        </w:rPr>
        <w:t>-</w:t>
      </w:r>
      <w:r w:rsidR="00731B20">
        <w:rPr>
          <w:rFonts w:ascii="David" w:hAnsi="David" w:cs="David" w:hint="cs"/>
          <w:sz w:val="24"/>
          <w:szCs w:val="24"/>
          <w:rtl/>
        </w:rPr>
        <w:t>נ</w:t>
      </w:r>
      <w:r w:rsidR="00731B20">
        <w:rPr>
          <w:rFonts w:ascii="David" w:hAnsi="David" w:cs="David"/>
          <w:sz w:val="24"/>
          <w:szCs w:val="24"/>
          <w:rtl/>
        </w:rPr>
        <w:t>'</w:t>
      </w:r>
      <w:r w:rsidRPr="00116BDC">
        <w:rPr>
          <w:rFonts w:ascii="David" w:hAnsi="David" w:cs="David"/>
          <w:sz w:val="24"/>
          <w:szCs w:val="24"/>
          <w:rtl/>
        </w:rPr>
        <w:t xml:space="preserve"> שגילם מעל 6 שנים - בצרכים אלו יחלקו ההורים לפי יכולתם הכלכלית, זמני השהות ושאר נסיבות העניין.</w:t>
      </w:r>
    </w:p>
    <w:p w:rsidR="00F12B2B" w:rsidRPr="00116BDC" w:rsidRDefault="00F12B2B" w:rsidP="00F12B2B">
      <w:pPr>
        <w:pStyle w:val="af"/>
        <w:tabs>
          <w:tab w:val="left" w:pos="567"/>
        </w:tabs>
        <w:spacing w:line="360" w:lineRule="auto"/>
        <w:ind w:left="567"/>
        <w:jc w:val="both"/>
        <w:rPr>
          <w:rFonts w:ascii="David" w:hAnsi="David" w:cs="David"/>
          <w:sz w:val="24"/>
          <w:szCs w:val="24"/>
          <w:rtl/>
        </w:rPr>
      </w:pPr>
    </w:p>
    <w:p w:rsidR="00F12B2B" w:rsidRPr="00116BDC" w:rsidRDefault="00F12B2B" w:rsidP="00F12B2B">
      <w:pPr>
        <w:pStyle w:val="af"/>
        <w:numPr>
          <w:ilvl w:val="0"/>
          <w:numId w:val="1"/>
        </w:numPr>
        <w:tabs>
          <w:tab w:val="left" w:pos="567"/>
        </w:tabs>
        <w:spacing w:line="360" w:lineRule="auto"/>
        <w:ind w:left="567" w:hanging="567"/>
        <w:jc w:val="both"/>
        <w:rPr>
          <w:rFonts w:ascii="David" w:hAnsi="David" w:cs="David"/>
          <w:b/>
          <w:bCs/>
          <w:sz w:val="24"/>
          <w:szCs w:val="24"/>
          <w:rtl/>
        </w:rPr>
      </w:pPr>
      <w:r w:rsidRPr="00116BDC">
        <w:rPr>
          <w:rFonts w:ascii="David" w:hAnsi="David" w:cs="David"/>
          <w:sz w:val="24"/>
          <w:szCs w:val="24"/>
          <w:rtl/>
        </w:rPr>
        <w:t>לעניין זה יוזכר, כי אין מדובר בנוסחאות אריתמטיות נוקשות וכי על בית המשפט לבחון את מכלול הנסיבות הרלוונטיות, לרבות זהות ההורה הנושא בעיקר נטל גידול הילדים אף במנותק מחלוקת זמני השהות, כאשר שיקול העל המנחה הוא טובת הקטין ורווחתו בבית שני ההורים. במילים אחרות וכפי שנפסק:</w:t>
      </w:r>
    </w:p>
    <w:p w:rsidR="00F12B2B" w:rsidRPr="00116BDC" w:rsidRDefault="00F12B2B" w:rsidP="00F12B2B">
      <w:pPr>
        <w:pStyle w:val="af"/>
        <w:tabs>
          <w:tab w:val="left" w:pos="567"/>
        </w:tabs>
        <w:spacing w:line="360" w:lineRule="auto"/>
        <w:ind w:left="567"/>
        <w:jc w:val="both"/>
        <w:rPr>
          <w:rFonts w:ascii="David" w:hAnsi="David" w:cs="David"/>
          <w:b/>
          <w:bCs/>
          <w:sz w:val="24"/>
          <w:szCs w:val="24"/>
        </w:rPr>
      </w:pPr>
    </w:p>
    <w:p w:rsidR="00F12B2B" w:rsidRPr="00116BDC" w:rsidRDefault="00F12B2B" w:rsidP="00F12B2B">
      <w:pPr>
        <w:pStyle w:val="af"/>
        <w:tabs>
          <w:tab w:val="left" w:pos="567"/>
        </w:tabs>
        <w:spacing w:line="360" w:lineRule="auto"/>
        <w:ind w:left="1134" w:right="567"/>
        <w:jc w:val="both"/>
        <w:rPr>
          <w:rFonts w:ascii="David" w:hAnsi="David" w:cs="David"/>
          <w:b/>
          <w:bCs/>
          <w:sz w:val="24"/>
          <w:szCs w:val="24"/>
        </w:rPr>
      </w:pPr>
      <w:r w:rsidRPr="00116BDC">
        <w:rPr>
          <w:rFonts w:ascii="David" w:hAnsi="David" w:cs="David"/>
          <w:sz w:val="24"/>
          <w:szCs w:val="24"/>
          <w:rtl/>
        </w:rPr>
        <w:t xml:space="preserve">"המבקש להגיע לפסיקת מזונות ראויה לא יקיש רק במקשי ה"מחשבון" אלא יוסיף ויאחז בחידוד ה"מחשבה" תוך שהוא נותן מבטו אל התמונה המשפחתית בכללותה. החישוב האריתמטי אכן יכול לשמש כעוגן, כמגדלור וכמתווה לדרך חישוב ואף ראוי שכך יעשה על מנת שלא נמצא עצמנו עושים את מלאכתנו כלאחר יד ועל דרך הניחוש וההשערה עד שאין קורא או אפילו בעל הדין, מבין מה הדרך בה אחזנו לחישוב שיעור החיוב, ואולם אין די בו – וכפי שאמרנו בעניין בעמ"ש 11623-07-17 (מחוזי מרכז) </w:t>
      </w:r>
      <w:r w:rsidRPr="00116BDC">
        <w:rPr>
          <w:rFonts w:ascii="David" w:hAnsi="David" w:cs="David"/>
          <w:b/>
          <w:bCs/>
          <w:sz w:val="24"/>
          <w:szCs w:val="24"/>
          <w:rtl/>
        </w:rPr>
        <w:t>ש' נ' ש'</w:t>
      </w:r>
      <w:r w:rsidRPr="00116BDC">
        <w:rPr>
          <w:rFonts w:ascii="David" w:hAnsi="David" w:cs="David"/>
          <w:sz w:val="24"/>
          <w:szCs w:val="24"/>
          <w:rtl/>
        </w:rPr>
        <w:t xml:space="preserve"> (2018): "יש מקום לטעמנו, לתחושתו של השופט באשר לזהות ההורה עליו מוטל עיקר הנטל בגידול הקטינים ומתוך כך לשקלול – לאו דווקא מתמטי מדוייק – של הפרמטרים הנזכרים... הכל כמובן תלוי נסיבות". </w:t>
      </w:r>
      <w:r w:rsidRPr="00116BDC">
        <w:rPr>
          <w:rFonts w:ascii="David" w:hAnsi="David" w:cs="David"/>
          <w:b/>
          <w:bCs/>
          <w:sz w:val="24"/>
          <w:szCs w:val="24"/>
          <w:rtl/>
        </w:rPr>
        <w:t xml:space="preserve">(ר' עמ"ש (מרכז) 2366-06-23 ש.מ נ' נ.מ.מ (24.12.2023)). </w:t>
      </w:r>
    </w:p>
    <w:p w:rsidR="00F12B2B" w:rsidRPr="00116BDC" w:rsidRDefault="00F12B2B" w:rsidP="00F12B2B">
      <w:pPr>
        <w:pStyle w:val="af"/>
        <w:tabs>
          <w:tab w:val="left" w:pos="567"/>
        </w:tabs>
        <w:spacing w:line="360" w:lineRule="auto"/>
        <w:ind w:left="1134" w:right="567"/>
        <w:jc w:val="both"/>
        <w:rPr>
          <w:rFonts w:ascii="David" w:hAnsi="David" w:cs="David"/>
          <w:b/>
          <w:bCs/>
          <w:sz w:val="24"/>
          <w:szCs w:val="24"/>
          <w:rtl/>
        </w:rPr>
      </w:pPr>
    </w:p>
    <w:p w:rsidR="00F12B2B" w:rsidRPr="00116BDC" w:rsidRDefault="00F12B2B" w:rsidP="00BA6638">
      <w:pPr>
        <w:pStyle w:val="af"/>
        <w:numPr>
          <w:ilvl w:val="0"/>
          <w:numId w:val="1"/>
        </w:numPr>
        <w:tabs>
          <w:tab w:val="left" w:pos="567"/>
        </w:tabs>
        <w:spacing w:line="360" w:lineRule="auto"/>
        <w:ind w:left="567" w:hanging="567"/>
        <w:jc w:val="both"/>
        <w:rPr>
          <w:rFonts w:ascii="David" w:hAnsi="David" w:cs="David"/>
          <w:b/>
          <w:bCs/>
          <w:sz w:val="24"/>
          <w:szCs w:val="24"/>
        </w:rPr>
      </w:pPr>
      <w:r w:rsidRPr="00116BDC">
        <w:rPr>
          <w:rFonts w:ascii="David" w:hAnsi="David" w:cs="David"/>
          <w:sz w:val="24"/>
          <w:szCs w:val="24"/>
          <w:rtl/>
        </w:rPr>
        <w:t xml:space="preserve">משבאנו לכאן, נעבור </w:t>
      </w:r>
      <w:r w:rsidR="00BA6638" w:rsidRPr="00116BDC">
        <w:rPr>
          <w:rFonts w:ascii="David" w:hAnsi="David" w:cs="David" w:hint="cs"/>
          <w:sz w:val="24"/>
          <w:szCs w:val="24"/>
          <w:rtl/>
        </w:rPr>
        <w:t>לחישוב דמי</w:t>
      </w:r>
      <w:r w:rsidRPr="00116BDC">
        <w:rPr>
          <w:rFonts w:ascii="David" w:hAnsi="David" w:cs="David"/>
          <w:sz w:val="24"/>
          <w:szCs w:val="24"/>
          <w:rtl/>
        </w:rPr>
        <w:t xml:space="preserve"> המזונות</w:t>
      </w:r>
      <w:r w:rsidR="00BA6638" w:rsidRPr="00116BDC">
        <w:rPr>
          <w:rFonts w:ascii="David" w:hAnsi="David" w:cs="David" w:hint="cs"/>
          <w:sz w:val="24"/>
          <w:szCs w:val="24"/>
          <w:rtl/>
        </w:rPr>
        <w:t xml:space="preserve"> והמדור,</w:t>
      </w:r>
      <w:r w:rsidRPr="00116BDC">
        <w:rPr>
          <w:rFonts w:ascii="David" w:hAnsi="David" w:cs="David"/>
          <w:sz w:val="24"/>
          <w:szCs w:val="24"/>
          <w:rtl/>
        </w:rPr>
        <w:t xml:space="preserve"> על יסוד הקביעות שפורטו לעיל וישמשו מסד </w:t>
      </w:r>
      <w:r w:rsidR="00BA6638" w:rsidRPr="00116BDC">
        <w:rPr>
          <w:rFonts w:ascii="David" w:hAnsi="David" w:cs="David" w:hint="cs"/>
          <w:sz w:val="24"/>
          <w:szCs w:val="24"/>
          <w:rtl/>
        </w:rPr>
        <w:t>לעריכת החישוב</w:t>
      </w:r>
      <w:r w:rsidRPr="00116BDC">
        <w:rPr>
          <w:rFonts w:ascii="David" w:hAnsi="David" w:cs="David"/>
          <w:sz w:val="24"/>
          <w:szCs w:val="24"/>
          <w:rtl/>
        </w:rPr>
        <w:t>.</w:t>
      </w:r>
    </w:p>
    <w:p w:rsidR="00F12B2B" w:rsidRPr="00116BDC" w:rsidRDefault="00F12B2B" w:rsidP="00F12B2B">
      <w:pPr>
        <w:pStyle w:val="af"/>
        <w:tabs>
          <w:tab w:val="left" w:pos="567"/>
        </w:tabs>
        <w:spacing w:line="360" w:lineRule="auto"/>
        <w:ind w:left="567"/>
        <w:jc w:val="both"/>
        <w:rPr>
          <w:rFonts w:ascii="David" w:hAnsi="David" w:cs="David"/>
          <w:b/>
          <w:bCs/>
          <w:sz w:val="24"/>
          <w:szCs w:val="24"/>
        </w:rPr>
      </w:pPr>
    </w:p>
    <w:p w:rsidR="00F12B2B" w:rsidRPr="00116BDC" w:rsidRDefault="00F12B2B" w:rsidP="00E731CA">
      <w:pPr>
        <w:pStyle w:val="af"/>
        <w:tabs>
          <w:tab w:val="left" w:pos="567"/>
        </w:tabs>
        <w:spacing w:line="360" w:lineRule="auto"/>
        <w:ind w:left="567"/>
        <w:jc w:val="both"/>
        <w:rPr>
          <w:rFonts w:ascii="David" w:hAnsi="David" w:cs="David"/>
          <w:sz w:val="24"/>
          <w:szCs w:val="24"/>
          <w:rtl/>
        </w:rPr>
      </w:pPr>
      <w:r w:rsidRPr="00116BDC">
        <w:rPr>
          <w:rFonts w:ascii="David" w:hAnsi="David" w:cs="David"/>
          <w:sz w:val="24"/>
          <w:szCs w:val="24"/>
          <w:rtl/>
        </w:rPr>
        <w:t xml:space="preserve">ביחס למזונות הקטין </w:t>
      </w:r>
      <w:r w:rsidR="00E731CA">
        <w:rPr>
          <w:rFonts w:ascii="David" w:hAnsi="David" w:cs="David" w:hint="cs"/>
          <w:sz w:val="24"/>
          <w:szCs w:val="24"/>
          <w:rtl/>
        </w:rPr>
        <w:t>י'</w:t>
      </w:r>
      <w:r w:rsidRPr="00116BDC">
        <w:rPr>
          <w:rFonts w:ascii="David" w:hAnsi="David" w:cs="David"/>
          <w:sz w:val="24"/>
          <w:szCs w:val="24"/>
          <w:rtl/>
        </w:rPr>
        <w:t xml:space="preserve"> עד הגיעו לגיל 6: בהינתן כי סך צרכיו נקבע על סך של 1,400 ₪, כאשר עפ"י יחס זמני השהות, הקטין שוהה עם הנתבע 30%, נמצא כי הוא נושא ב-420 ₪ מצרכיו ישירות בזמני השהות שלו עמו ונותר לו לשאת בעוד 980 ₪ (1,400-420).</w:t>
      </w:r>
    </w:p>
    <w:p w:rsidR="00F12B2B" w:rsidRPr="00116BDC" w:rsidRDefault="00F12B2B" w:rsidP="00F12B2B">
      <w:pPr>
        <w:pStyle w:val="af"/>
        <w:tabs>
          <w:tab w:val="left" w:pos="567"/>
        </w:tabs>
        <w:spacing w:line="360" w:lineRule="auto"/>
        <w:ind w:left="567"/>
        <w:jc w:val="both"/>
        <w:rPr>
          <w:rFonts w:ascii="David" w:hAnsi="David" w:cs="David"/>
          <w:sz w:val="24"/>
          <w:szCs w:val="24"/>
          <w:rtl/>
        </w:rPr>
      </w:pPr>
    </w:p>
    <w:p w:rsidR="00F12B2B" w:rsidRPr="00116BDC" w:rsidRDefault="00F12B2B" w:rsidP="00E731CA">
      <w:pPr>
        <w:pStyle w:val="af"/>
        <w:tabs>
          <w:tab w:val="left" w:pos="567"/>
        </w:tabs>
        <w:spacing w:line="360" w:lineRule="auto"/>
        <w:ind w:left="567"/>
        <w:jc w:val="both"/>
        <w:rPr>
          <w:rFonts w:ascii="David" w:hAnsi="David" w:cs="David"/>
          <w:sz w:val="24"/>
          <w:szCs w:val="24"/>
          <w:rtl/>
        </w:rPr>
      </w:pPr>
      <w:r w:rsidRPr="00116BDC">
        <w:rPr>
          <w:rFonts w:ascii="David" w:hAnsi="David" w:cs="David"/>
          <w:sz w:val="24"/>
          <w:szCs w:val="24"/>
          <w:rtl/>
        </w:rPr>
        <w:t xml:space="preserve">ביחס לחיוב במזונות הקטין </w:t>
      </w:r>
      <w:r w:rsidR="00E731CA">
        <w:rPr>
          <w:rFonts w:ascii="David" w:hAnsi="David" w:cs="David" w:hint="cs"/>
          <w:sz w:val="24"/>
          <w:szCs w:val="24"/>
          <w:rtl/>
        </w:rPr>
        <w:t>י'</w:t>
      </w:r>
      <w:r w:rsidRPr="00116BDC">
        <w:rPr>
          <w:rFonts w:ascii="David" w:hAnsi="David" w:cs="David"/>
          <w:sz w:val="24"/>
          <w:szCs w:val="24"/>
          <w:rtl/>
        </w:rPr>
        <w:t xml:space="preserve"> לאחר הגיעו לגיל 6 וביחס לילדים האחרים, הקטינים </w:t>
      </w:r>
      <w:r w:rsidR="00E731CA">
        <w:rPr>
          <w:rFonts w:ascii="David" w:hAnsi="David" w:cs="David" w:hint="cs"/>
          <w:sz w:val="24"/>
          <w:szCs w:val="24"/>
          <w:rtl/>
        </w:rPr>
        <w:t>ע'</w:t>
      </w:r>
      <w:r w:rsidRPr="00116BDC">
        <w:rPr>
          <w:rFonts w:ascii="David" w:hAnsi="David" w:cs="David"/>
          <w:sz w:val="24"/>
          <w:szCs w:val="24"/>
          <w:rtl/>
        </w:rPr>
        <w:t>, א</w:t>
      </w:r>
      <w:r w:rsidR="00E731CA">
        <w:rPr>
          <w:rFonts w:ascii="David" w:hAnsi="David" w:cs="David" w:hint="cs"/>
          <w:sz w:val="24"/>
          <w:szCs w:val="24"/>
          <w:rtl/>
        </w:rPr>
        <w:t>'</w:t>
      </w:r>
      <w:r w:rsidRPr="00116BDC">
        <w:rPr>
          <w:rFonts w:ascii="David" w:hAnsi="David" w:cs="David"/>
          <w:sz w:val="24"/>
          <w:szCs w:val="24"/>
          <w:rtl/>
        </w:rPr>
        <w:t xml:space="preserve"> </w:t>
      </w:r>
      <w:r w:rsidR="00731B20">
        <w:rPr>
          <w:rFonts w:ascii="David" w:hAnsi="David" w:cs="David"/>
          <w:sz w:val="24"/>
          <w:szCs w:val="24"/>
          <w:rtl/>
        </w:rPr>
        <w:br/>
      </w:r>
      <w:r w:rsidR="00E731CA">
        <w:rPr>
          <w:rFonts w:ascii="David" w:hAnsi="David" w:cs="David" w:hint="cs"/>
          <w:sz w:val="24"/>
          <w:szCs w:val="24"/>
          <w:rtl/>
        </w:rPr>
        <w:t>ו-</w:t>
      </w:r>
      <w:r w:rsidR="00731B20">
        <w:rPr>
          <w:rFonts w:ascii="David" w:hAnsi="David" w:cs="David" w:hint="cs"/>
          <w:sz w:val="24"/>
          <w:szCs w:val="24"/>
          <w:rtl/>
        </w:rPr>
        <w:t>נ</w:t>
      </w:r>
      <w:r w:rsidR="00731B20">
        <w:rPr>
          <w:rFonts w:ascii="David" w:hAnsi="David" w:cs="David"/>
          <w:sz w:val="24"/>
          <w:szCs w:val="24"/>
          <w:rtl/>
        </w:rPr>
        <w:t>'</w:t>
      </w:r>
      <w:r w:rsidRPr="00116BDC">
        <w:rPr>
          <w:rFonts w:ascii="David" w:hAnsi="David" w:cs="David"/>
          <w:sz w:val="24"/>
          <w:szCs w:val="24"/>
          <w:rtl/>
        </w:rPr>
        <w:t xml:space="preserve"> (שחצו את גיל 6): בהינתן כי הצרכים נקבעו, כאמור, בסך של 1,400 ₪ ובהינתן יחס ההכנסות בין הצדדים (56% לאב ו-44% לאם), על הנתבע לשאת ב-784 ₪ עבור כל קטין </w:t>
      </w:r>
      <w:r w:rsidRPr="00116BDC">
        <w:rPr>
          <w:rFonts w:ascii="David" w:hAnsi="David" w:cs="David"/>
          <w:sz w:val="24"/>
          <w:szCs w:val="24"/>
          <w:rtl/>
        </w:rPr>
        <w:lastRenderedPageBreak/>
        <w:t xml:space="preserve">(1,400*0.56). בשים לב כי הנתבע נושא בחלק מעלויות כל קטין ישירות בעת שהיותו עמו (בשיעור של 30%) ובסך של 235 ₪ (784*0.3), הרי שנותר לו לשאת במזונות כל אחד מהקטינים בשיעור של 549 ₪ (784-235 ₪). </w:t>
      </w:r>
    </w:p>
    <w:p w:rsidR="00F12B2B" w:rsidRPr="00116BDC" w:rsidRDefault="00F12B2B" w:rsidP="00F12B2B">
      <w:pPr>
        <w:pStyle w:val="af"/>
        <w:tabs>
          <w:tab w:val="left" w:pos="567"/>
        </w:tabs>
        <w:spacing w:line="360" w:lineRule="auto"/>
        <w:ind w:left="567"/>
        <w:jc w:val="both"/>
        <w:rPr>
          <w:rFonts w:ascii="David" w:hAnsi="David" w:cs="David"/>
          <w:b/>
          <w:bCs/>
          <w:sz w:val="24"/>
          <w:szCs w:val="24"/>
          <w:rtl/>
        </w:rPr>
      </w:pPr>
    </w:p>
    <w:p w:rsidR="00F12B2B" w:rsidRPr="00116BDC" w:rsidRDefault="00F12B2B" w:rsidP="00E731CA">
      <w:pPr>
        <w:pStyle w:val="af"/>
        <w:numPr>
          <w:ilvl w:val="0"/>
          <w:numId w:val="1"/>
        </w:numPr>
        <w:tabs>
          <w:tab w:val="left" w:pos="567"/>
        </w:tabs>
        <w:spacing w:line="360" w:lineRule="auto"/>
        <w:ind w:left="567" w:hanging="567"/>
        <w:jc w:val="both"/>
        <w:rPr>
          <w:rFonts w:ascii="David" w:hAnsi="David" w:cs="David"/>
          <w:b/>
          <w:bCs/>
          <w:sz w:val="24"/>
          <w:szCs w:val="24"/>
          <w:rtl/>
        </w:rPr>
      </w:pPr>
      <w:r w:rsidRPr="00116BDC">
        <w:rPr>
          <w:rFonts w:ascii="David" w:hAnsi="David" w:cs="David"/>
          <w:b/>
          <w:bCs/>
          <w:sz w:val="24"/>
          <w:szCs w:val="24"/>
          <w:rtl/>
        </w:rPr>
        <w:t xml:space="preserve">על יסוד האמור, לאחר שקלול הכנסותיהם הפנויות של ההורים וזמני השהות של הקטינים עם כל אחד מהם; לאור גילאי הקטינים; בשים לב להערכת צרכי הקטינים; שעה שהאם נושאת בעיקר נטל גידולם של הקטינים, לרבות בהוצאות שאינן ניתנות לכימות כספי ולאור נטל החיוב והדין החל, מצאתי להעמיד חיובו של הנתבע בעניינו של הקטין </w:t>
      </w:r>
      <w:r w:rsidR="00E731CA">
        <w:rPr>
          <w:rFonts w:ascii="David" w:hAnsi="David" w:cs="David" w:hint="cs"/>
          <w:b/>
          <w:bCs/>
          <w:sz w:val="24"/>
          <w:szCs w:val="24"/>
          <w:rtl/>
        </w:rPr>
        <w:t>י'</w:t>
      </w:r>
      <w:r w:rsidRPr="00116BDC">
        <w:rPr>
          <w:rFonts w:ascii="David" w:hAnsi="David" w:cs="David"/>
          <w:b/>
          <w:bCs/>
          <w:sz w:val="24"/>
          <w:szCs w:val="24"/>
          <w:rtl/>
        </w:rPr>
        <w:t xml:space="preserve"> עד הגיעו לגיל 6 בסכום של 1,000 ₪ ואת מזונותיהם של כל אחד מהקטינים </w:t>
      </w:r>
      <w:r w:rsidR="00E731CA">
        <w:rPr>
          <w:rFonts w:ascii="David" w:hAnsi="David" w:cs="David" w:hint="cs"/>
          <w:b/>
          <w:bCs/>
          <w:sz w:val="24"/>
          <w:szCs w:val="24"/>
          <w:rtl/>
        </w:rPr>
        <w:t>ע'</w:t>
      </w:r>
      <w:r w:rsidRPr="00116BDC">
        <w:rPr>
          <w:rFonts w:ascii="David" w:hAnsi="David" w:cs="David"/>
          <w:b/>
          <w:bCs/>
          <w:sz w:val="24"/>
          <w:szCs w:val="24"/>
          <w:rtl/>
        </w:rPr>
        <w:t>, א</w:t>
      </w:r>
      <w:r w:rsidR="00E731CA">
        <w:rPr>
          <w:rFonts w:ascii="David" w:hAnsi="David" w:cs="David" w:hint="cs"/>
          <w:b/>
          <w:bCs/>
          <w:sz w:val="24"/>
          <w:szCs w:val="24"/>
          <w:rtl/>
        </w:rPr>
        <w:t xml:space="preserve">' </w:t>
      </w:r>
      <w:r w:rsidRPr="00116BDC">
        <w:rPr>
          <w:rFonts w:ascii="David" w:hAnsi="David" w:cs="David"/>
          <w:b/>
          <w:bCs/>
          <w:sz w:val="24"/>
          <w:szCs w:val="24"/>
          <w:rtl/>
        </w:rPr>
        <w:t>ו</w:t>
      </w:r>
      <w:r w:rsidR="00E731CA">
        <w:rPr>
          <w:rFonts w:ascii="David" w:hAnsi="David" w:cs="David" w:hint="cs"/>
          <w:b/>
          <w:bCs/>
          <w:sz w:val="24"/>
          <w:szCs w:val="24"/>
          <w:rtl/>
        </w:rPr>
        <w:t>-</w:t>
      </w:r>
      <w:r w:rsidR="00731B20">
        <w:rPr>
          <w:rFonts w:ascii="David" w:hAnsi="David" w:cs="David" w:hint="cs"/>
          <w:b/>
          <w:bCs/>
          <w:sz w:val="24"/>
          <w:szCs w:val="24"/>
          <w:rtl/>
        </w:rPr>
        <w:t>נ</w:t>
      </w:r>
      <w:r w:rsidR="00731B20">
        <w:rPr>
          <w:rFonts w:ascii="David" w:hAnsi="David" w:cs="David"/>
          <w:b/>
          <w:bCs/>
          <w:sz w:val="24"/>
          <w:szCs w:val="24"/>
          <w:rtl/>
        </w:rPr>
        <w:t>'</w:t>
      </w:r>
      <w:r w:rsidR="00E731CA">
        <w:rPr>
          <w:rFonts w:ascii="David" w:hAnsi="David" w:cs="David" w:hint="cs"/>
          <w:b/>
          <w:bCs/>
          <w:sz w:val="24"/>
          <w:szCs w:val="24"/>
          <w:rtl/>
        </w:rPr>
        <w:t xml:space="preserve"> </w:t>
      </w:r>
      <w:r w:rsidRPr="00116BDC">
        <w:rPr>
          <w:rFonts w:ascii="David" w:hAnsi="David" w:cs="David"/>
          <w:b/>
          <w:bCs/>
          <w:sz w:val="24"/>
          <w:szCs w:val="24"/>
          <w:rtl/>
        </w:rPr>
        <w:t xml:space="preserve">(ומזונותיו של הקטין </w:t>
      </w:r>
      <w:r w:rsidR="00E731CA">
        <w:rPr>
          <w:rFonts w:ascii="David" w:hAnsi="David" w:cs="David" w:hint="cs"/>
          <w:b/>
          <w:bCs/>
          <w:sz w:val="24"/>
          <w:szCs w:val="24"/>
          <w:rtl/>
        </w:rPr>
        <w:t>י'</w:t>
      </w:r>
      <w:r w:rsidRPr="00116BDC">
        <w:rPr>
          <w:rFonts w:ascii="David" w:hAnsi="David" w:cs="David"/>
          <w:b/>
          <w:bCs/>
          <w:sz w:val="24"/>
          <w:szCs w:val="24"/>
          <w:rtl/>
        </w:rPr>
        <w:t xml:space="preserve"> לאחר שיגיע לגיל 6) בסכום של 600 ₪ בעבור כל קטין. </w:t>
      </w:r>
    </w:p>
    <w:p w:rsidR="00F12B2B" w:rsidRPr="00116BDC" w:rsidRDefault="00F12B2B" w:rsidP="00F12B2B">
      <w:pPr>
        <w:pStyle w:val="af"/>
        <w:tabs>
          <w:tab w:val="left" w:pos="567"/>
        </w:tabs>
        <w:spacing w:line="360" w:lineRule="auto"/>
        <w:ind w:left="567"/>
        <w:jc w:val="both"/>
        <w:rPr>
          <w:rFonts w:ascii="David" w:hAnsi="David" w:cs="David"/>
          <w:b/>
          <w:bCs/>
          <w:sz w:val="24"/>
          <w:szCs w:val="24"/>
        </w:rPr>
      </w:pPr>
    </w:p>
    <w:p w:rsidR="00F12B2B" w:rsidRPr="00116BDC" w:rsidRDefault="00F12B2B" w:rsidP="00F12B2B">
      <w:pPr>
        <w:pStyle w:val="af"/>
        <w:tabs>
          <w:tab w:val="left" w:pos="567"/>
        </w:tabs>
        <w:spacing w:line="360" w:lineRule="auto"/>
        <w:ind w:left="567"/>
        <w:jc w:val="both"/>
        <w:rPr>
          <w:rFonts w:ascii="David" w:hAnsi="David" w:cs="David"/>
          <w:b/>
          <w:bCs/>
          <w:sz w:val="24"/>
          <w:szCs w:val="24"/>
          <w:rtl/>
        </w:rPr>
      </w:pPr>
      <w:r w:rsidRPr="00116BDC">
        <w:rPr>
          <w:rFonts w:ascii="David" w:hAnsi="David" w:cs="David"/>
          <w:b/>
          <w:bCs/>
          <w:sz w:val="24"/>
          <w:szCs w:val="24"/>
          <w:rtl/>
        </w:rPr>
        <w:t>יובהר כי סכום זה אינו כולל את הוצאות המדור ואחזקתו, כפי שיפורטו להלן ואת הוצאות החינוך וההוצאות הרפואיות החריגות.</w:t>
      </w:r>
    </w:p>
    <w:p w:rsidR="00F12B2B" w:rsidRPr="00116BDC" w:rsidRDefault="00F12B2B" w:rsidP="00F12B2B">
      <w:pPr>
        <w:tabs>
          <w:tab w:val="left" w:pos="567"/>
        </w:tabs>
        <w:spacing w:line="360" w:lineRule="auto"/>
        <w:ind w:left="567" w:hanging="567"/>
        <w:jc w:val="both"/>
        <w:rPr>
          <w:rFonts w:ascii="David" w:hAnsi="David"/>
          <w:b/>
          <w:bCs/>
          <w:u w:val="single"/>
        </w:rPr>
      </w:pPr>
    </w:p>
    <w:p w:rsidR="00484122" w:rsidRPr="00116BDC" w:rsidRDefault="00484122" w:rsidP="00F12B2B">
      <w:pPr>
        <w:tabs>
          <w:tab w:val="left" w:pos="567"/>
        </w:tabs>
        <w:spacing w:line="360" w:lineRule="auto"/>
        <w:ind w:left="567" w:hanging="567"/>
        <w:jc w:val="both"/>
        <w:rPr>
          <w:rFonts w:ascii="David" w:hAnsi="David"/>
          <w:b/>
          <w:bCs/>
          <w:u w:val="single"/>
          <w:rtl/>
        </w:rPr>
      </w:pPr>
    </w:p>
    <w:p w:rsidR="00F12B2B" w:rsidRPr="00116BDC" w:rsidRDefault="00F12B2B" w:rsidP="00F12B2B">
      <w:pPr>
        <w:tabs>
          <w:tab w:val="left" w:pos="567"/>
        </w:tabs>
        <w:spacing w:line="360" w:lineRule="auto"/>
        <w:ind w:left="567" w:hanging="567"/>
        <w:jc w:val="both"/>
        <w:rPr>
          <w:rFonts w:ascii="David" w:hAnsi="David"/>
          <w:b/>
          <w:bCs/>
          <w:u w:val="single"/>
          <w:rtl/>
        </w:rPr>
      </w:pPr>
      <w:r w:rsidRPr="00116BDC">
        <w:rPr>
          <w:rFonts w:ascii="David" w:hAnsi="David"/>
          <w:b/>
          <w:bCs/>
          <w:u w:val="single"/>
          <w:rtl/>
        </w:rPr>
        <w:t>הוצאות המדור ואחזקתו</w:t>
      </w:r>
    </w:p>
    <w:p w:rsidR="00F12B2B" w:rsidRPr="00116BDC" w:rsidRDefault="00F12B2B" w:rsidP="00F12B2B">
      <w:pPr>
        <w:tabs>
          <w:tab w:val="left" w:pos="567"/>
        </w:tabs>
        <w:spacing w:line="360" w:lineRule="auto"/>
        <w:ind w:left="567" w:hanging="567"/>
        <w:jc w:val="both"/>
        <w:rPr>
          <w:rFonts w:ascii="David" w:hAnsi="David"/>
          <w:b/>
          <w:bCs/>
          <w:u w:val="single"/>
          <w:rtl/>
        </w:rPr>
      </w:pPr>
    </w:p>
    <w:p w:rsidR="00F12B2B" w:rsidRPr="00116BDC" w:rsidRDefault="00F12B2B" w:rsidP="00F12B2B">
      <w:pPr>
        <w:pStyle w:val="af"/>
        <w:numPr>
          <w:ilvl w:val="0"/>
          <w:numId w:val="1"/>
        </w:numPr>
        <w:tabs>
          <w:tab w:val="left" w:pos="567"/>
        </w:tabs>
        <w:spacing w:after="0" w:line="360" w:lineRule="auto"/>
        <w:ind w:left="567" w:hanging="567"/>
        <w:jc w:val="both"/>
        <w:rPr>
          <w:rFonts w:ascii="David" w:hAnsi="David" w:cs="David"/>
          <w:sz w:val="24"/>
          <w:szCs w:val="24"/>
          <w:rtl/>
        </w:rPr>
      </w:pPr>
      <w:r w:rsidRPr="00116BDC">
        <w:rPr>
          <w:rFonts w:ascii="David" w:hAnsi="David" w:cs="David"/>
          <w:sz w:val="24"/>
          <w:szCs w:val="24"/>
          <w:rtl/>
        </w:rPr>
        <w:t xml:space="preserve">לטענת האם בסיכומיה, האם נותרה להתגורר בדירתם המשותפת של הצדדים בתנאי שכירות ומאז חודש 8/2023 נושאת בדמי שכירות בסך של 4,500 ₪ לחודש. </w:t>
      </w:r>
    </w:p>
    <w:p w:rsidR="00F12B2B" w:rsidRPr="00116BDC" w:rsidRDefault="00F12B2B" w:rsidP="00F12B2B">
      <w:pPr>
        <w:pStyle w:val="af"/>
        <w:tabs>
          <w:tab w:val="left" w:pos="567"/>
        </w:tabs>
        <w:spacing w:after="0" w:line="360" w:lineRule="auto"/>
        <w:ind w:left="567" w:hanging="567"/>
        <w:jc w:val="both"/>
        <w:rPr>
          <w:rFonts w:ascii="David" w:hAnsi="David" w:cs="David"/>
          <w:sz w:val="24"/>
          <w:szCs w:val="24"/>
        </w:rPr>
      </w:pPr>
    </w:p>
    <w:p w:rsidR="00F12B2B" w:rsidRPr="00116BDC" w:rsidRDefault="00F12B2B" w:rsidP="00F12B2B">
      <w:pPr>
        <w:pStyle w:val="af"/>
        <w:numPr>
          <w:ilvl w:val="0"/>
          <w:numId w:val="1"/>
        </w:numPr>
        <w:tabs>
          <w:tab w:val="left" w:pos="567"/>
        </w:tabs>
        <w:spacing w:after="0" w:line="360" w:lineRule="auto"/>
        <w:ind w:left="567" w:hanging="567"/>
        <w:jc w:val="both"/>
        <w:rPr>
          <w:rFonts w:ascii="David" w:hAnsi="David" w:cs="David"/>
          <w:sz w:val="24"/>
          <w:szCs w:val="24"/>
        </w:rPr>
      </w:pPr>
      <w:r w:rsidRPr="00116BDC">
        <w:rPr>
          <w:rFonts w:ascii="David" w:hAnsi="David" w:cs="David"/>
          <w:sz w:val="24"/>
          <w:szCs w:val="24"/>
          <w:rtl/>
        </w:rPr>
        <w:t xml:space="preserve">לטענת האב, אין לקבל טענת האם למגוריה בשכירות שעה שלא הציגה ראיה כלשהי למגוריה בשכירות. </w:t>
      </w:r>
    </w:p>
    <w:p w:rsidR="00F12B2B" w:rsidRPr="00116BDC" w:rsidRDefault="00F12B2B" w:rsidP="00F12B2B">
      <w:pPr>
        <w:pStyle w:val="af"/>
        <w:tabs>
          <w:tab w:val="left" w:pos="567"/>
        </w:tabs>
        <w:spacing w:line="360" w:lineRule="auto"/>
        <w:ind w:left="567" w:hanging="567"/>
        <w:rPr>
          <w:rFonts w:ascii="David" w:hAnsi="David" w:cs="David"/>
          <w:sz w:val="24"/>
          <w:szCs w:val="24"/>
        </w:rPr>
      </w:pPr>
    </w:p>
    <w:p w:rsidR="00F12B2B" w:rsidRPr="00116BDC" w:rsidRDefault="00F12B2B" w:rsidP="00F12B2B">
      <w:pPr>
        <w:pStyle w:val="af"/>
        <w:numPr>
          <w:ilvl w:val="0"/>
          <w:numId w:val="1"/>
        </w:numPr>
        <w:tabs>
          <w:tab w:val="left" w:pos="567"/>
        </w:tabs>
        <w:spacing w:after="0" w:line="360" w:lineRule="auto"/>
        <w:ind w:left="567" w:hanging="567"/>
        <w:jc w:val="both"/>
        <w:rPr>
          <w:rFonts w:ascii="David" w:hAnsi="David" w:cs="David"/>
          <w:sz w:val="24"/>
          <w:szCs w:val="24"/>
          <w:rtl/>
        </w:rPr>
      </w:pPr>
      <w:r w:rsidRPr="00116BDC">
        <w:rPr>
          <w:rFonts w:ascii="David" w:hAnsi="David" w:cs="David"/>
          <w:sz w:val="24"/>
          <w:szCs w:val="24"/>
          <w:rtl/>
        </w:rPr>
        <w:t>יצוין, כי על פי הסכם המכר שאושר בהליך הרכושי הקשור (תלה"מ 47673-03-21), מסירת הדירה לרוכשים נקבעה עד ליום 10/8/2023 ומשכך במועד שמיעת הראיות, לא נדרשה האם לשלם דמי שכירות בגין מגוריה בדירה.</w:t>
      </w:r>
    </w:p>
    <w:p w:rsidR="00F12B2B" w:rsidRPr="00116BDC" w:rsidRDefault="00F12B2B" w:rsidP="00F12B2B">
      <w:pPr>
        <w:pStyle w:val="af"/>
        <w:tabs>
          <w:tab w:val="left" w:pos="567"/>
        </w:tabs>
        <w:spacing w:line="360" w:lineRule="auto"/>
        <w:ind w:left="567" w:hanging="567"/>
        <w:rPr>
          <w:rFonts w:ascii="David" w:hAnsi="David" w:cs="David"/>
          <w:sz w:val="24"/>
          <w:szCs w:val="24"/>
        </w:rPr>
      </w:pPr>
    </w:p>
    <w:p w:rsidR="00F12B2B" w:rsidRPr="00116BDC" w:rsidRDefault="00F12B2B" w:rsidP="00F12B2B">
      <w:pPr>
        <w:pStyle w:val="af"/>
        <w:numPr>
          <w:ilvl w:val="0"/>
          <w:numId w:val="1"/>
        </w:numPr>
        <w:tabs>
          <w:tab w:val="left" w:pos="567"/>
        </w:tabs>
        <w:spacing w:after="0" w:line="360" w:lineRule="auto"/>
        <w:ind w:left="567" w:hanging="567"/>
        <w:jc w:val="both"/>
        <w:rPr>
          <w:rFonts w:ascii="David" w:hAnsi="David" w:cs="David"/>
          <w:sz w:val="24"/>
          <w:szCs w:val="24"/>
          <w:rtl/>
        </w:rPr>
      </w:pPr>
      <w:r w:rsidRPr="00116BDC">
        <w:rPr>
          <w:rFonts w:ascii="David" w:hAnsi="David" w:cs="David"/>
          <w:sz w:val="24"/>
          <w:szCs w:val="24"/>
          <w:rtl/>
        </w:rPr>
        <w:t xml:space="preserve">האם בנסיבות בהן לא הציגה האם הסכם שכירות ו/או הוצאות בגין מדור רעיוני, יש מקום להורות על חיוב האב בחלקם של הקטינים בהוצאות המדור והחזקתו ממועד מסירת הבית המשותף לידי הרוכשים, וככל שכן באיזה היקף. </w:t>
      </w:r>
    </w:p>
    <w:p w:rsidR="00F12B2B" w:rsidRPr="00116BDC" w:rsidRDefault="00F12B2B" w:rsidP="00F12B2B">
      <w:pPr>
        <w:pStyle w:val="af"/>
        <w:tabs>
          <w:tab w:val="left" w:pos="567"/>
        </w:tabs>
        <w:spacing w:line="360" w:lineRule="auto"/>
        <w:ind w:left="567" w:hanging="567"/>
        <w:rPr>
          <w:rFonts w:ascii="David" w:hAnsi="David" w:cs="David"/>
          <w:sz w:val="24"/>
          <w:szCs w:val="24"/>
        </w:rPr>
      </w:pPr>
    </w:p>
    <w:p w:rsidR="00F12B2B" w:rsidRPr="00116BDC" w:rsidRDefault="00F12B2B" w:rsidP="00F12B2B">
      <w:pPr>
        <w:pStyle w:val="af"/>
        <w:numPr>
          <w:ilvl w:val="0"/>
          <w:numId w:val="1"/>
        </w:numPr>
        <w:tabs>
          <w:tab w:val="left" w:pos="567"/>
        </w:tabs>
        <w:spacing w:after="0" w:line="360" w:lineRule="auto"/>
        <w:ind w:left="567" w:hanging="567"/>
        <w:jc w:val="both"/>
        <w:rPr>
          <w:rFonts w:ascii="David" w:hAnsi="David" w:cs="David"/>
          <w:sz w:val="24"/>
          <w:szCs w:val="24"/>
          <w:rtl/>
        </w:rPr>
      </w:pPr>
      <w:r w:rsidRPr="00116BDC">
        <w:rPr>
          <w:rFonts w:ascii="David" w:hAnsi="David" w:cs="David"/>
          <w:sz w:val="24"/>
          <w:szCs w:val="24"/>
          <w:rtl/>
        </w:rPr>
        <w:t xml:space="preserve">לאחר שעיינתי באשר מונח לפניי ושקלתי בדבר באתי למסקנה, כי התשובה לכך היא בחיוב, עת נהיר כי עם מסירת הבית המשותף לרוכשים, על האם לדאוג למדור חלופי עבורה ועבור הקטינים. </w:t>
      </w:r>
    </w:p>
    <w:p w:rsidR="00F12B2B" w:rsidRPr="00116BDC" w:rsidRDefault="00F12B2B" w:rsidP="00F12B2B">
      <w:pPr>
        <w:pStyle w:val="af"/>
        <w:tabs>
          <w:tab w:val="left" w:pos="567"/>
        </w:tabs>
        <w:ind w:left="567" w:hanging="567"/>
        <w:rPr>
          <w:rFonts w:ascii="David" w:hAnsi="David" w:cs="David"/>
          <w:sz w:val="24"/>
          <w:szCs w:val="24"/>
        </w:rPr>
      </w:pPr>
    </w:p>
    <w:p w:rsidR="00F12B2B" w:rsidRPr="00116BDC" w:rsidRDefault="00F12B2B" w:rsidP="00F12B2B">
      <w:pPr>
        <w:pStyle w:val="af"/>
        <w:tabs>
          <w:tab w:val="left" w:pos="567"/>
        </w:tabs>
        <w:spacing w:after="0" w:line="360" w:lineRule="auto"/>
        <w:ind w:left="567" w:hanging="567"/>
        <w:jc w:val="both"/>
        <w:rPr>
          <w:rFonts w:ascii="David" w:hAnsi="David" w:cs="David"/>
          <w:sz w:val="24"/>
          <w:szCs w:val="24"/>
          <w:rtl/>
        </w:rPr>
      </w:pPr>
      <w:r w:rsidRPr="00116BDC">
        <w:rPr>
          <w:rFonts w:ascii="David" w:hAnsi="David" w:cs="David"/>
          <w:sz w:val="24"/>
          <w:szCs w:val="24"/>
          <w:rtl/>
        </w:rPr>
        <w:lastRenderedPageBreak/>
        <w:tab/>
        <w:t xml:space="preserve">לעניין היקף הוצאות המדור - לא מצאתי כי הוצאות המדור להן עתרה האם בשיעור של 4,500 ₪ חורגות מדמי שכירות ראויים לדירה בת 5 חדרים. </w:t>
      </w:r>
    </w:p>
    <w:p w:rsidR="00F12B2B" w:rsidRPr="00116BDC" w:rsidRDefault="00F12B2B" w:rsidP="00F12B2B">
      <w:pPr>
        <w:pStyle w:val="af"/>
        <w:tabs>
          <w:tab w:val="left" w:pos="567"/>
        </w:tabs>
        <w:spacing w:after="0" w:line="360" w:lineRule="auto"/>
        <w:ind w:left="567" w:hanging="567"/>
        <w:jc w:val="both"/>
        <w:rPr>
          <w:rFonts w:ascii="David" w:hAnsi="David" w:cs="David"/>
          <w:sz w:val="24"/>
          <w:szCs w:val="24"/>
          <w:rtl/>
        </w:rPr>
      </w:pPr>
    </w:p>
    <w:p w:rsidR="00F12B2B" w:rsidRPr="00116BDC" w:rsidRDefault="00F12B2B" w:rsidP="00F12B2B">
      <w:pPr>
        <w:pStyle w:val="af"/>
        <w:tabs>
          <w:tab w:val="left" w:pos="567"/>
        </w:tabs>
        <w:spacing w:after="0" w:line="360" w:lineRule="auto"/>
        <w:ind w:left="567" w:hanging="567"/>
        <w:jc w:val="both"/>
        <w:rPr>
          <w:rFonts w:ascii="David" w:hAnsi="David" w:cs="David"/>
          <w:sz w:val="24"/>
          <w:szCs w:val="24"/>
          <w:rtl/>
        </w:rPr>
      </w:pPr>
      <w:r w:rsidRPr="00116BDC">
        <w:rPr>
          <w:rFonts w:ascii="David" w:hAnsi="David" w:cs="David"/>
          <w:sz w:val="24"/>
          <w:szCs w:val="24"/>
          <w:rtl/>
        </w:rPr>
        <w:tab/>
        <w:t>בשים לב למאפייני הדירה, מצאתי לקבל טענת האם באשר לגובה דמי השכירות המשתלמים על ידה. תימוכין לטענת האם בדבר גובה דמי השכירות המשתלמים ניתן למצוא בבקשת האב לחיוב האם בדמי שימוש ראויים שהוגשה בגדרי התביעה הרכושית (בקשה מיום 14.12.2021 בתלה"מ 47673-03-21), עת עתר לחיוב האם במחצית דמי שכירות ראויים בסך של 4,500 ₪ ואף ביקש להפנות להערכה מאתר יד2 לגבי גובה דמי השכירות בשכונה בה ממוקם הנכס (ר' סעיף 11 לבקשה).</w:t>
      </w:r>
    </w:p>
    <w:p w:rsidR="00F12B2B" w:rsidRPr="00116BDC" w:rsidRDefault="00F12B2B" w:rsidP="00F12B2B">
      <w:pPr>
        <w:pStyle w:val="af"/>
        <w:tabs>
          <w:tab w:val="left" w:pos="567"/>
        </w:tabs>
        <w:ind w:left="567" w:hanging="567"/>
        <w:rPr>
          <w:rFonts w:ascii="David" w:hAnsi="David" w:cs="David"/>
          <w:sz w:val="24"/>
          <w:szCs w:val="24"/>
        </w:rPr>
      </w:pPr>
    </w:p>
    <w:p w:rsidR="00F12B2B" w:rsidRPr="00116BDC" w:rsidRDefault="00F12B2B" w:rsidP="00F12B2B">
      <w:pPr>
        <w:pStyle w:val="af"/>
        <w:tabs>
          <w:tab w:val="left" w:pos="567"/>
        </w:tabs>
        <w:spacing w:after="0" w:line="360" w:lineRule="auto"/>
        <w:ind w:left="567" w:hanging="567"/>
        <w:jc w:val="both"/>
        <w:rPr>
          <w:rFonts w:ascii="David" w:hAnsi="David" w:cs="David"/>
          <w:sz w:val="24"/>
          <w:szCs w:val="24"/>
          <w:rtl/>
        </w:rPr>
      </w:pPr>
      <w:r w:rsidRPr="00116BDC">
        <w:rPr>
          <w:rFonts w:ascii="David" w:hAnsi="David" w:cs="David"/>
          <w:sz w:val="24"/>
          <w:szCs w:val="24"/>
          <w:rtl/>
        </w:rPr>
        <w:tab/>
        <w:t xml:space="preserve">על האמור יש להוסיף, כי ממילא הוצאות המדור שישתלמו לידי האם יותנו בהצגת אסמכתה מתאימה.  </w:t>
      </w:r>
    </w:p>
    <w:p w:rsidR="00F12B2B" w:rsidRPr="00116BDC" w:rsidRDefault="00F12B2B" w:rsidP="00F12B2B">
      <w:pPr>
        <w:pStyle w:val="af"/>
        <w:tabs>
          <w:tab w:val="left" w:pos="567"/>
        </w:tabs>
        <w:spacing w:after="0" w:line="360" w:lineRule="auto"/>
        <w:ind w:left="567" w:hanging="567"/>
        <w:jc w:val="both"/>
        <w:rPr>
          <w:rFonts w:ascii="David" w:hAnsi="David" w:cs="David"/>
          <w:sz w:val="24"/>
          <w:szCs w:val="24"/>
          <w:rtl/>
        </w:rPr>
      </w:pPr>
    </w:p>
    <w:p w:rsidR="00F12B2B" w:rsidRPr="00116BDC" w:rsidRDefault="00F12B2B" w:rsidP="00F12B2B">
      <w:pPr>
        <w:pStyle w:val="af"/>
        <w:tabs>
          <w:tab w:val="left" w:pos="567"/>
        </w:tabs>
        <w:spacing w:after="0" w:line="360" w:lineRule="auto"/>
        <w:ind w:left="567" w:hanging="567"/>
        <w:jc w:val="both"/>
        <w:rPr>
          <w:rFonts w:ascii="David" w:hAnsi="David" w:cs="David"/>
          <w:sz w:val="24"/>
          <w:szCs w:val="24"/>
          <w:rtl/>
        </w:rPr>
      </w:pPr>
      <w:r w:rsidRPr="00116BDC">
        <w:rPr>
          <w:rFonts w:ascii="David" w:hAnsi="David" w:cs="David"/>
          <w:sz w:val="24"/>
          <w:szCs w:val="24"/>
          <w:rtl/>
        </w:rPr>
        <w:tab/>
        <w:t xml:space="preserve">לאור האמור, מצאתי להעמיד הוצאות המדור של האם בסכום של 4,500 ₪. </w:t>
      </w:r>
    </w:p>
    <w:p w:rsidR="00F12B2B" w:rsidRPr="00116BDC" w:rsidRDefault="00F12B2B" w:rsidP="00F12B2B">
      <w:pPr>
        <w:pStyle w:val="af"/>
        <w:tabs>
          <w:tab w:val="left" w:pos="567"/>
        </w:tabs>
        <w:spacing w:after="0" w:line="360" w:lineRule="auto"/>
        <w:ind w:left="567" w:hanging="567"/>
        <w:jc w:val="both"/>
        <w:rPr>
          <w:rFonts w:ascii="David" w:hAnsi="David" w:cs="David"/>
          <w:sz w:val="24"/>
          <w:szCs w:val="24"/>
          <w:rtl/>
        </w:rPr>
      </w:pPr>
    </w:p>
    <w:p w:rsidR="00F12B2B" w:rsidRPr="00116BDC" w:rsidRDefault="00F12B2B" w:rsidP="00F12B2B">
      <w:pPr>
        <w:pStyle w:val="af"/>
        <w:numPr>
          <w:ilvl w:val="0"/>
          <w:numId w:val="1"/>
        </w:numPr>
        <w:tabs>
          <w:tab w:val="left" w:pos="567"/>
        </w:tabs>
        <w:spacing w:after="0" w:line="360" w:lineRule="auto"/>
        <w:ind w:left="567" w:hanging="567"/>
        <w:jc w:val="both"/>
        <w:rPr>
          <w:rFonts w:ascii="David" w:hAnsi="David" w:cs="David"/>
          <w:sz w:val="24"/>
          <w:szCs w:val="24"/>
        </w:rPr>
      </w:pPr>
      <w:r w:rsidRPr="00116BDC">
        <w:rPr>
          <w:rFonts w:ascii="David" w:hAnsi="David" w:cs="David"/>
          <w:sz w:val="24"/>
          <w:szCs w:val="24"/>
          <w:rtl/>
        </w:rPr>
        <w:t xml:space="preserve">אשר להוצאות אחזקת המדור – על פי האסמכתאות שצורפו לתצהיר האם (ר' סעיף 29 לתצהיר), הוצאות אחזקת המדור נאמדות בסכום של כ-1,285 ₪ לחודש (ארנונה – כ-630 ₪ לחודש; חשמל – כ-250 ₪ לחודש; מים וביוב – כ- 80 ₪ לחודש; גז – 45 ₪ לחודש; כבלים ואינטרנט – 280 ש"ח לחודש). </w:t>
      </w:r>
    </w:p>
    <w:p w:rsidR="00F12B2B" w:rsidRPr="00116BDC" w:rsidRDefault="00F12B2B" w:rsidP="00F12B2B">
      <w:pPr>
        <w:pStyle w:val="af"/>
        <w:tabs>
          <w:tab w:val="left" w:pos="567"/>
        </w:tabs>
        <w:spacing w:after="0" w:line="360" w:lineRule="auto"/>
        <w:ind w:left="567"/>
        <w:jc w:val="both"/>
        <w:rPr>
          <w:rFonts w:ascii="David" w:hAnsi="David" w:cs="David"/>
          <w:sz w:val="24"/>
          <w:szCs w:val="24"/>
        </w:rPr>
      </w:pPr>
    </w:p>
    <w:p w:rsidR="00F12B2B" w:rsidRPr="00116BDC" w:rsidRDefault="00F12B2B" w:rsidP="00F12B2B">
      <w:pPr>
        <w:pStyle w:val="af"/>
        <w:numPr>
          <w:ilvl w:val="0"/>
          <w:numId w:val="1"/>
        </w:numPr>
        <w:tabs>
          <w:tab w:val="left" w:pos="567"/>
        </w:tabs>
        <w:spacing w:after="0" w:line="360" w:lineRule="auto"/>
        <w:ind w:left="567" w:hanging="567"/>
        <w:jc w:val="both"/>
        <w:rPr>
          <w:rFonts w:ascii="David" w:hAnsi="David" w:cs="David"/>
          <w:sz w:val="24"/>
          <w:szCs w:val="24"/>
        </w:rPr>
      </w:pPr>
      <w:r w:rsidRPr="00116BDC">
        <w:rPr>
          <w:rFonts w:ascii="David" w:hAnsi="David" w:cs="David"/>
          <w:sz w:val="24"/>
          <w:szCs w:val="24"/>
          <w:rtl/>
        </w:rPr>
        <w:t xml:space="preserve">נפסק כי חלקם של 4 קטינים בהוצאות המדור הוא בשיעור של 50% (ראו: ע"א 52/87 </w:t>
      </w:r>
      <w:r w:rsidRPr="00116BDC">
        <w:rPr>
          <w:rFonts w:ascii="David" w:hAnsi="David" w:cs="David"/>
          <w:b/>
          <w:bCs/>
          <w:sz w:val="24"/>
          <w:szCs w:val="24"/>
          <w:rtl/>
        </w:rPr>
        <w:t xml:space="preserve">הראל נ' הראל </w:t>
      </w:r>
      <w:r w:rsidRPr="00116BDC">
        <w:rPr>
          <w:rFonts w:ascii="David" w:hAnsi="David" w:cs="David"/>
          <w:sz w:val="24"/>
          <w:szCs w:val="24"/>
          <w:rtl/>
        </w:rPr>
        <w:t xml:space="preserve">[פורסם בנבו, 12.10.1989]; ע"מ (תל-אביב) 1162/03 </w:t>
      </w:r>
      <w:r w:rsidRPr="00116BDC">
        <w:rPr>
          <w:rFonts w:ascii="David" w:hAnsi="David" w:cs="David"/>
          <w:b/>
          <w:bCs/>
          <w:sz w:val="24"/>
          <w:szCs w:val="24"/>
          <w:rtl/>
        </w:rPr>
        <w:t xml:space="preserve">ד.ע. נ' ר.ע. </w:t>
      </w:r>
      <w:r w:rsidRPr="00116BDC">
        <w:rPr>
          <w:rFonts w:ascii="David" w:hAnsi="David" w:cs="David"/>
          <w:sz w:val="24"/>
          <w:szCs w:val="24"/>
          <w:rtl/>
        </w:rPr>
        <w:t>[פורסם בנבו, 25.2.2016]). ובנדוננו, חלקם של הקטינים בהוצאות המדור עומד על סכום של 2,250 ₪ בחודש ובהוצאות אחזקת המדור – על סכום של 642 ₪ בחודש (ובמעוגל 640 ₪).</w:t>
      </w:r>
    </w:p>
    <w:p w:rsidR="00F12B2B" w:rsidRPr="00116BDC" w:rsidRDefault="00F12B2B" w:rsidP="00F12B2B">
      <w:pPr>
        <w:pStyle w:val="af"/>
        <w:rPr>
          <w:rFonts w:ascii="David" w:hAnsi="David" w:cs="David"/>
          <w:sz w:val="24"/>
          <w:szCs w:val="24"/>
        </w:rPr>
      </w:pPr>
    </w:p>
    <w:p w:rsidR="00F12B2B" w:rsidRPr="00116BDC" w:rsidRDefault="00F12B2B" w:rsidP="00F12B2B">
      <w:pPr>
        <w:pStyle w:val="af"/>
        <w:numPr>
          <w:ilvl w:val="0"/>
          <w:numId w:val="1"/>
        </w:numPr>
        <w:tabs>
          <w:tab w:val="left" w:pos="567"/>
        </w:tabs>
        <w:spacing w:after="0" w:line="360" w:lineRule="auto"/>
        <w:ind w:left="567" w:hanging="567"/>
        <w:jc w:val="both"/>
        <w:rPr>
          <w:rFonts w:ascii="David" w:hAnsi="David" w:cs="David"/>
          <w:sz w:val="24"/>
          <w:szCs w:val="24"/>
          <w:rtl/>
        </w:rPr>
      </w:pPr>
      <w:r w:rsidRPr="00116BDC">
        <w:rPr>
          <w:rFonts w:ascii="David" w:hAnsi="David" w:cs="David"/>
          <w:sz w:val="24"/>
          <w:szCs w:val="24"/>
          <w:rtl/>
        </w:rPr>
        <w:t xml:space="preserve">בפסיקה נקבע כי לצורך חישוב מדורם של הקטינים, בשני הבתים, יש לקבוע עלות מדור סבירה השווה לשני ההורים, להוסיפה לסכום המזונות ולחלק אותה בהתאם לאותם פרמטרים של יכולת כלכלית וחלוקת זמני שהות (ראו לעניין זה – עמ"ש (מרכז) 31135-07-20 </w:t>
      </w:r>
      <w:r w:rsidRPr="00116BDC">
        <w:rPr>
          <w:rFonts w:ascii="David" w:hAnsi="David" w:cs="David"/>
          <w:b/>
          <w:bCs/>
          <w:sz w:val="24"/>
          <w:szCs w:val="24"/>
          <w:rtl/>
        </w:rPr>
        <w:t>ד.ש. נ' מ.מ.ש.</w:t>
      </w:r>
      <w:r w:rsidRPr="00116BDC">
        <w:rPr>
          <w:rFonts w:ascii="David" w:hAnsi="David" w:cs="David"/>
          <w:sz w:val="24"/>
          <w:szCs w:val="24"/>
          <w:rtl/>
        </w:rPr>
        <w:t xml:space="preserve"> [פורסם בנבו] (2021); עמ"ש (מרכז) 65692-11-19 </w:t>
      </w:r>
      <w:r w:rsidRPr="00116BDC">
        <w:rPr>
          <w:rFonts w:ascii="David" w:hAnsi="David" w:cs="David"/>
          <w:b/>
          <w:bCs/>
          <w:sz w:val="24"/>
          <w:szCs w:val="24"/>
          <w:rtl/>
        </w:rPr>
        <w:t>ס. נ' ס.</w:t>
      </w:r>
      <w:r w:rsidRPr="00116BDC">
        <w:rPr>
          <w:rFonts w:ascii="David" w:hAnsi="David" w:cs="David"/>
          <w:sz w:val="24"/>
          <w:szCs w:val="24"/>
          <w:rtl/>
        </w:rPr>
        <w:t xml:space="preserve"> [פורסם בנבו] (2020)). </w:t>
      </w:r>
    </w:p>
    <w:p w:rsidR="00F12B2B" w:rsidRPr="00116BDC" w:rsidRDefault="00F12B2B" w:rsidP="00F12B2B">
      <w:pPr>
        <w:pStyle w:val="af"/>
        <w:rPr>
          <w:rFonts w:ascii="David" w:hAnsi="David" w:cs="David"/>
          <w:sz w:val="24"/>
          <w:szCs w:val="24"/>
        </w:rPr>
      </w:pPr>
    </w:p>
    <w:p w:rsidR="00F12B2B" w:rsidRPr="00116BDC" w:rsidRDefault="00F12B2B" w:rsidP="00E731CA">
      <w:pPr>
        <w:pStyle w:val="af"/>
        <w:numPr>
          <w:ilvl w:val="0"/>
          <w:numId w:val="1"/>
        </w:numPr>
        <w:tabs>
          <w:tab w:val="left" w:pos="567"/>
        </w:tabs>
        <w:spacing w:after="0" w:line="360" w:lineRule="auto"/>
        <w:ind w:left="567" w:hanging="567"/>
        <w:jc w:val="both"/>
        <w:rPr>
          <w:rFonts w:ascii="David" w:hAnsi="David" w:cs="David"/>
          <w:sz w:val="24"/>
          <w:szCs w:val="24"/>
          <w:rtl/>
        </w:rPr>
      </w:pPr>
      <w:r w:rsidRPr="00116BDC">
        <w:rPr>
          <w:rFonts w:ascii="David" w:hAnsi="David" w:cs="David"/>
          <w:sz w:val="24"/>
          <w:szCs w:val="24"/>
          <w:rtl/>
        </w:rPr>
        <w:t xml:space="preserve">וביישום לענייננו. הואיל וחלק הארי של הוצאות מדורם של הקטינים הוא בגין דמי שכירות שאינם תלויים בזמני השהות והואיל והאב אינו נושא בפועל בהוצאות מדור בגין הקטינים (לאור קביעתי לעיל) והואיל וביחס לקטין </w:t>
      </w:r>
      <w:r w:rsidR="00E731CA">
        <w:rPr>
          <w:rFonts w:ascii="David" w:hAnsi="David" w:cs="David" w:hint="cs"/>
          <w:sz w:val="24"/>
          <w:szCs w:val="24"/>
          <w:rtl/>
        </w:rPr>
        <w:t>י'</w:t>
      </w:r>
      <w:r w:rsidRPr="00116BDC">
        <w:rPr>
          <w:rFonts w:ascii="David" w:hAnsi="David" w:cs="David"/>
          <w:sz w:val="24"/>
          <w:szCs w:val="24"/>
          <w:rtl/>
        </w:rPr>
        <w:t xml:space="preserve"> מוטלת על האב חובה אבסולוטית לסיפוק מדורו נוכח גילו והואיל ועיקר מדורם של הקטינים מסופק בבית האם לאור זמני השהות המצומצמים עם האב, מצאתי לקבוע כי על האב לשאת ב-50% מהוצאות המדור של הקטינים, קרי, סך של </w:t>
      </w:r>
      <w:r w:rsidRPr="00116BDC">
        <w:rPr>
          <w:rFonts w:ascii="David" w:hAnsi="David" w:cs="David"/>
          <w:sz w:val="24"/>
          <w:szCs w:val="24"/>
          <w:rtl/>
        </w:rPr>
        <w:lastRenderedPageBreak/>
        <w:t>2,250 ₪ בחודש, כנגד הצגת אסמכתה בדבר תשלום הוצאות מדור (דמי שכירות או הלוואת משכנתא)</w:t>
      </w:r>
    </w:p>
    <w:p w:rsidR="00F12B2B" w:rsidRPr="00116BDC" w:rsidRDefault="00F12B2B" w:rsidP="00F12B2B">
      <w:pPr>
        <w:pStyle w:val="af"/>
        <w:rPr>
          <w:rFonts w:ascii="David" w:hAnsi="David" w:cs="David"/>
          <w:sz w:val="24"/>
          <w:szCs w:val="24"/>
        </w:rPr>
      </w:pPr>
    </w:p>
    <w:p w:rsidR="00F12B2B" w:rsidRPr="00116BDC" w:rsidRDefault="00F12B2B" w:rsidP="00F12B2B">
      <w:pPr>
        <w:pStyle w:val="af"/>
        <w:tabs>
          <w:tab w:val="left" w:pos="567"/>
        </w:tabs>
        <w:spacing w:after="0" w:line="360" w:lineRule="auto"/>
        <w:ind w:left="567"/>
        <w:jc w:val="both"/>
        <w:rPr>
          <w:rFonts w:ascii="David" w:hAnsi="David" w:cs="David"/>
          <w:sz w:val="24"/>
          <w:szCs w:val="24"/>
          <w:rtl/>
        </w:rPr>
      </w:pPr>
      <w:r w:rsidRPr="00116BDC">
        <w:rPr>
          <w:rFonts w:ascii="David" w:hAnsi="David" w:cs="David"/>
          <w:sz w:val="24"/>
          <w:szCs w:val="24"/>
          <w:rtl/>
        </w:rPr>
        <w:t xml:space="preserve">אשר לחלקם של הקטינים בהוצאות אחזקת המדור – כיוון שהוצאות אחזקת המדור תלויות שהות ולאור ההלכה כנסקר לעיל ובשים לב שחלקו של האב בהכנסה המצרפית עומד על </w:t>
      </w:r>
      <w:r w:rsidRPr="00116BDC">
        <w:rPr>
          <w:rFonts w:ascii="David" w:hAnsi="David" w:cs="David"/>
          <w:sz w:val="24"/>
          <w:szCs w:val="24"/>
          <w:rtl/>
        </w:rPr>
        <w:br/>
        <w:t xml:space="preserve">כ-56% (קרי: 640*56%) והקטינים שוהים אצל האב כ-30% מהזמן (640*30%), אזי מצאתי מקום להורות לאב להשלים עבור השתתפות בהוצאות מדור הקטינים סכום של 166 ₪ בחודש (ובמעוגל – 170 ₪). </w:t>
      </w:r>
    </w:p>
    <w:p w:rsidR="00F12B2B" w:rsidRPr="00116BDC" w:rsidRDefault="00F12B2B" w:rsidP="00F12B2B">
      <w:pPr>
        <w:pStyle w:val="af"/>
        <w:tabs>
          <w:tab w:val="left" w:pos="567"/>
        </w:tabs>
        <w:spacing w:after="0" w:line="360" w:lineRule="auto"/>
        <w:ind w:left="567"/>
        <w:jc w:val="both"/>
        <w:rPr>
          <w:rFonts w:ascii="David" w:hAnsi="David" w:cs="David"/>
          <w:sz w:val="24"/>
          <w:szCs w:val="24"/>
          <w:rtl/>
        </w:rPr>
      </w:pPr>
    </w:p>
    <w:p w:rsidR="00F12B2B" w:rsidRPr="00116BDC" w:rsidRDefault="00F12B2B" w:rsidP="00F12B2B">
      <w:pPr>
        <w:pStyle w:val="af"/>
        <w:numPr>
          <w:ilvl w:val="0"/>
          <w:numId w:val="1"/>
        </w:numPr>
        <w:tabs>
          <w:tab w:val="left" w:pos="567"/>
        </w:tabs>
        <w:spacing w:after="0" w:line="360" w:lineRule="auto"/>
        <w:ind w:left="567" w:hanging="567"/>
        <w:jc w:val="both"/>
        <w:rPr>
          <w:rFonts w:ascii="David" w:hAnsi="David" w:cs="David"/>
          <w:b/>
          <w:bCs/>
          <w:sz w:val="24"/>
          <w:szCs w:val="24"/>
          <w:rtl/>
        </w:rPr>
      </w:pPr>
      <w:r w:rsidRPr="00116BDC">
        <w:rPr>
          <w:rFonts w:ascii="David" w:hAnsi="David" w:cs="David"/>
          <w:sz w:val="24"/>
          <w:szCs w:val="24"/>
          <w:rtl/>
        </w:rPr>
        <w:t xml:space="preserve">לסיכום חלק זה, </w:t>
      </w:r>
      <w:r w:rsidRPr="00116BDC">
        <w:rPr>
          <w:rFonts w:ascii="David" w:hAnsi="David" w:cs="David"/>
          <w:b/>
          <w:bCs/>
          <w:sz w:val="24"/>
          <w:szCs w:val="24"/>
          <w:rtl/>
        </w:rPr>
        <w:t xml:space="preserve">האב יישא בהוצאות מדור הקטינים ואחזקתו בסכום כולל של 2,420 ₪ בחודש. </w:t>
      </w:r>
    </w:p>
    <w:p w:rsidR="00F12B2B" w:rsidRPr="00116BDC" w:rsidRDefault="00F12B2B" w:rsidP="00F12B2B">
      <w:pPr>
        <w:pStyle w:val="af"/>
        <w:rPr>
          <w:rFonts w:ascii="David" w:hAnsi="David" w:cs="David"/>
          <w:sz w:val="24"/>
          <w:szCs w:val="24"/>
        </w:rPr>
      </w:pPr>
    </w:p>
    <w:p w:rsidR="00F12B2B" w:rsidRPr="00116BDC" w:rsidRDefault="00F12B2B" w:rsidP="00F12B2B">
      <w:pPr>
        <w:pStyle w:val="af"/>
        <w:tabs>
          <w:tab w:val="left" w:pos="567"/>
        </w:tabs>
        <w:spacing w:after="0" w:line="360" w:lineRule="auto"/>
        <w:ind w:left="567"/>
        <w:jc w:val="both"/>
        <w:rPr>
          <w:rFonts w:ascii="David" w:hAnsi="David" w:cs="David"/>
          <w:sz w:val="24"/>
          <w:szCs w:val="24"/>
          <w:rtl/>
        </w:rPr>
      </w:pPr>
    </w:p>
    <w:p w:rsidR="00F12B2B" w:rsidRPr="00116BDC" w:rsidRDefault="00F12B2B" w:rsidP="00F12B2B">
      <w:pPr>
        <w:pStyle w:val="af"/>
        <w:tabs>
          <w:tab w:val="left" w:pos="567"/>
        </w:tabs>
        <w:spacing w:after="0" w:line="360" w:lineRule="auto"/>
        <w:ind w:left="567"/>
        <w:jc w:val="both"/>
        <w:rPr>
          <w:rFonts w:ascii="David" w:hAnsi="David" w:cs="David"/>
          <w:b/>
          <w:bCs/>
          <w:sz w:val="24"/>
          <w:szCs w:val="24"/>
          <w:u w:val="single"/>
        </w:rPr>
      </w:pPr>
    </w:p>
    <w:p w:rsidR="00F12B2B" w:rsidRPr="00116BDC" w:rsidRDefault="00F12B2B" w:rsidP="00F12B2B">
      <w:pPr>
        <w:tabs>
          <w:tab w:val="left" w:pos="567"/>
        </w:tabs>
        <w:spacing w:line="360" w:lineRule="auto"/>
        <w:ind w:left="567" w:hanging="567"/>
        <w:jc w:val="both"/>
        <w:rPr>
          <w:rFonts w:ascii="David" w:hAnsi="David"/>
          <w:b/>
          <w:bCs/>
          <w:u w:val="single"/>
          <w:rtl/>
        </w:rPr>
      </w:pPr>
      <w:r w:rsidRPr="00116BDC">
        <w:rPr>
          <w:rFonts w:ascii="David" w:hAnsi="David"/>
          <w:b/>
          <w:bCs/>
          <w:u w:val="single"/>
          <w:rtl/>
        </w:rPr>
        <w:t>דמי טיפול</w:t>
      </w:r>
    </w:p>
    <w:p w:rsidR="00F12B2B" w:rsidRPr="00116BDC" w:rsidRDefault="00F12B2B" w:rsidP="00E731CA">
      <w:pPr>
        <w:pStyle w:val="af"/>
        <w:numPr>
          <w:ilvl w:val="0"/>
          <w:numId w:val="1"/>
        </w:numPr>
        <w:tabs>
          <w:tab w:val="left" w:pos="567"/>
        </w:tabs>
        <w:spacing w:after="0" w:line="360" w:lineRule="auto"/>
        <w:ind w:left="567" w:hanging="567"/>
        <w:jc w:val="both"/>
        <w:rPr>
          <w:rFonts w:ascii="David" w:hAnsi="David" w:cs="David"/>
          <w:sz w:val="24"/>
          <w:szCs w:val="24"/>
          <w:rtl/>
        </w:rPr>
      </w:pPr>
      <w:r w:rsidRPr="00116BDC">
        <w:rPr>
          <w:rFonts w:ascii="David" w:hAnsi="David" w:cs="David"/>
          <w:sz w:val="24"/>
          <w:szCs w:val="24"/>
          <w:rtl/>
        </w:rPr>
        <w:t xml:space="preserve">בכתב תביעתה עתרה התובעת לחיוב הנתבע בדמי טיפול בקטינים בשל גילם הצעיר בסך של 1,600 ₪ לחודש (300 ₪ עבור הקטינים </w:t>
      </w:r>
      <w:r w:rsidR="00E731CA">
        <w:rPr>
          <w:rFonts w:ascii="David" w:hAnsi="David" w:cs="David" w:hint="cs"/>
          <w:sz w:val="24"/>
          <w:szCs w:val="24"/>
          <w:rtl/>
        </w:rPr>
        <w:t>ע'</w:t>
      </w:r>
      <w:r w:rsidRPr="00116BDC">
        <w:rPr>
          <w:rFonts w:ascii="David" w:hAnsi="David" w:cs="David"/>
          <w:sz w:val="24"/>
          <w:szCs w:val="24"/>
          <w:rtl/>
        </w:rPr>
        <w:t xml:space="preserve"> ו</w:t>
      </w:r>
      <w:r w:rsidR="00E731CA">
        <w:rPr>
          <w:rFonts w:ascii="David" w:hAnsi="David" w:cs="David" w:hint="cs"/>
          <w:sz w:val="24"/>
          <w:szCs w:val="24"/>
          <w:rtl/>
        </w:rPr>
        <w:t>-</w:t>
      </w:r>
      <w:r w:rsidRPr="00116BDC">
        <w:rPr>
          <w:rFonts w:ascii="David" w:hAnsi="David" w:cs="David"/>
          <w:sz w:val="24"/>
          <w:szCs w:val="24"/>
          <w:rtl/>
        </w:rPr>
        <w:t>א</w:t>
      </w:r>
      <w:r w:rsidR="00E731CA">
        <w:rPr>
          <w:rFonts w:ascii="David" w:hAnsi="David" w:cs="David" w:hint="cs"/>
          <w:sz w:val="24"/>
          <w:szCs w:val="24"/>
          <w:rtl/>
        </w:rPr>
        <w:t xml:space="preserve">' </w:t>
      </w:r>
      <w:r w:rsidRPr="00116BDC">
        <w:rPr>
          <w:rFonts w:ascii="David" w:hAnsi="David" w:cs="David"/>
          <w:sz w:val="24"/>
          <w:szCs w:val="24"/>
          <w:rtl/>
        </w:rPr>
        <w:t xml:space="preserve">ו-500 ₪ עבור הקטינים </w:t>
      </w:r>
      <w:r w:rsidR="00731B20">
        <w:rPr>
          <w:rFonts w:ascii="David" w:hAnsi="David" w:cs="David" w:hint="cs"/>
          <w:sz w:val="24"/>
          <w:szCs w:val="24"/>
          <w:rtl/>
        </w:rPr>
        <w:t>נ</w:t>
      </w:r>
      <w:r w:rsidR="00731B20">
        <w:rPr>
          <w:rFonts w:ascii="David" w:hAnsi="David" w:cs="David"/>
          <w:sz w:val="24"/>
          <w:szCs w:val="24"/>
          <w:rtl/>
        </w:rPr>
        <w:t>'</w:t>
      </w:r>
      <w:r w:rsidRPr="00116BDC">
        <w:rPr>
          <w:rFonts w:ascii="David" w:hAnsi="David" w:cs="David"/>
          <w:sz w:val="24"/>
          <w:szCs w:val="24"/>
          <w:rtl/>
        </w:rPr>
        <w:t xml:space="preserve"> </w:t>
      </w:r>
      <w:r w:rsidR="00E731CA">
        <w:rPr>
          <w:rFonts w:ascii="David" w:hAnsi="David" w:cs="David" w:hint="cs"/>
          <w:sz w:val="24"/>
          <w:szCs w:val="24"/>
          <w:rtl/>
        </w:rPr>
        <w:t>ו-י'</w:t>
      </w:r>
      <w:r w:rsidRPr="00116BDC">
        <w:rPr>
          <w:rFonts w:ascii="David" w:hAnsi="David" w:cs="David"/>
          <w:sz w:val="24"/>
          <w:szCs w:val="24"/>
          <w:rtl/>
        </w:rPr>
        <w:t>). בסיכומיה זנחה התובעת עתירתה לחיוב הנתבע במזונותיהם של הקטינים שחצו את גיל 6 (</w:t>
      </w:r>
      <w:r w:rsidR="00E731CA">
        <w:rPr>
          <w:rFonts w:ascii="David" w:hAnsi="David" w:cs="David" w:hint="cs"/>
          <w:sz w:val="24"/>
          <w:szCs w:val="24"/>
          <w:rtl/>
        </w:rPr>
        <w:t>ע' ו-א</w:t>
      </w:r>
      <w:r w:rsidRPr="00116BDC">
        <w:rPr>
          <w:rFonts w:ascii="David" w:hAnsi="David" w:cs="David"/>
          <w:sz w:val="24"/>
          <w:szCs w:val="24"/>
          <w:rtl/>
        </w:rPr>
        <w:t xml:space="preserve">) וצמצמה עתירתה לחיובו במזונותיהם של הקטינים </w:t>
      </w:r>
      <w:r w:rsidR="00731B20">
        <w:rPr>
          <w:rFonts w:ascii="David" w:hAnsi="David" w:cs="David" w:hint="cs"/>
          <w:sz w:val="24"/>
          <w:szCs w:val="24"/>
          <w:rtl/>
        </w:rPr>
        <w:t>נ</w:t>
      </w:r>
      <w:r w:rsidR="00731B20">
        <w:rPr>
          <w:rFonts w:ascii="David" w:hAnsi="David" w:cs="David"/>
          <w:sz w:val="24"/>
          <w:szCs w:val="24"/>
          <w:rtl/>
        </w:rPr>
        <w:t>'</w:t>
      </w:r>
      <w:r w:rsidR="00E731CA">
        <w:rPr>
          <w:rFonts w:ascii="David" w:hAnsi="David" w:cs="David" w:hint="cs"/>
          <w:sz w:val="24"/>
          <w:szCs w:val="24"/>
          <w:rtl/>
        </w:rPr>
        <w:t xml:space="preserve"> ו-י'</w:t>
      </w:r>
      <w:r w:rsidRPr="00116BDC">
        <w:rPr>
          <w:rFonts w:ascii="David" w:hAnsi="David" w:cs="David"/>
          <w:sz w:val="24"/>
          <w:szCs w:val="24"/>
          <w:rtl/>
        </w:rPr>
        <w:t xml:space="preserve">. יוזכר, כי בעת מתן פסק הדין, חצה גם הקטין </w:t>
      </w:r>
      <w:r w:rsidR="00731B20">
        <w:rPr>
          <w:rFonts w:ascii="David" w:hAnsi="David" w:cs="David" w:hint="cs"/>
          <w:sz w:val="24"/>
          <w:szCs w:val="24"/>
          <w:rtl/>
        </w:rPr>
        <w:t>נ</w:t>
      </w:r>
      <w:r w:rsidR="00731B20">
        <w:rPr>
          <w:rFonts w:ascii="David" w:hAnsi="David" w:cs="David"/>
          <w:sz w:val="24"/>
          <w:szCs w:val="24"/>
          <w:rtl/>
        </w:rPr>
        <w:t>'</w:t>
      </w:r>
      <w:r w:rsidR="00E731CA">
        <w:rPr>
          <w:rFonts w:ascii="David" w:hAnsi="David" w:cs="David" w:hint="cs"/>
          <w:sz w:val="24"/>
          <w:szCs w:val="24"/>
          <w:rtl/>
        </w:rPr>
        <w:t xml:space="preserve"> </w:t>
      </w:r>
      <w:r w:rsidRPr="00116BDC">
        <w:rPr>
          <w:rFonts w:ascii="David" w:hAnsi="David" w:cs="David"/>
          <w:sz w:val="24"/>
          <w:szCs w:val="24"/>
          <w:rtl/>
        </w:rPr>
        <w:t xml:space="preserve">את גיל 6.  </w:t>
      </w:r>
    </w:p>
    <w:p w:rsidR="00F12B2B" w:rsidRPr="00116BDC" w:rsidRDefault="00F12B2B" w:rsidP="00F12B2B">
      <w:pPr>
        <w:pStyle w:val="af"/>
        <w:tabs>
          <w:tab w:val="left" w:pos="567"/>
        </w:tabs>
        <w:spacing w:line="360" w:lineRule="auto"/>
        <w:ind w:left="567" w:hanging="567"/>
        <w:rPr>
          <w:rFonts w:ascii="David" w:hAnsi="David" w:cs="David"/>
          <w:sz w:val="24"/>
          <w:szCs w:val="24"/>
        </w:rPr>
      </w:pPr>
    </w:p>
    <w:p w:rsidR="00F12B2B" w:rsidRPr="00116BDC" w:rsidRDefault="00F12B2B" w:rsidP="00F12B2B">
      <w:pPr>
        <w:pStyle w:val="af"/>
        <w:numPr>
          <w:ilvl w:val="0"/>
          <w:numId w:val="1"/>
        </w:numPr>
        <w:tabs>
          <w:tab w:val="left" w:pos="567"/>
        </w:tabs>
        <w:spacing w:after="0" w:line="360" w:lineRule="auto"/>
        <w:ind w:left="567" w:hanging="567"/>
        <w:jc w:val="both"/>
        <w:rPr>
          <w:rFonts w:ascii="David" w:hAnsi="David" w:cs="David"/>
          <w:sz w:val="24"/>
          <w:szCs w:val="24"/>
          <w:rtl/>
        </w:rPr>
      </w:pPr>
      <w:r w:rsidRPr="00116BDC">
        <w:rPr>
          <w:rFonts w:ascii="David" w:hAnsi="David" w:cs="David"/>
          <w:sz w:val="24"/>
          <w:szCs w:val="24"/>
          <w:rtl/>
        </w:rPr>
        <w:t>הנתבע מתנגד לחיובו ב"דמי טיפול" שעה שהקטינים מצויים במסגרות חינוכיות.</w:t>
      </w:r>
    </w:p>
    <w:p w:rsidR="00F12B2B" w:rsidRPr="00116BDC" w:rsidRDefault="00F12B2B" w:rsidP="00F12B2B">
      <w:pPr>
        <w:pStyle w:val="af"/>
        <w:tabs>
          <w:tab w:val="left" w:pos="567"/>
        </w:tabs>
        <w:spacing w:line="360" w:lineRule="auto"/>
        <w:ind w:left="567" w:hanging="567"/>
        <w:rPr>
          <w:rFonts w:ascii="David" w:hAnsi="David" w:cs="David"/>
          <w:sz w:val="24"/>
          <w:szCs w:val="24"/>
        </w:rPr>
      </w:pPr>
    </w:p>
    <w:p w:rsidR="00F12B2B" w:rsidRPr="00116BDC" w:rsidRDefault="00F12B2B" w:rsidP="006438B4">
      <w:pPr>
        <w:pStyle w:val="af"/>
        <w:numPr>
          <w:ilvl w:val="0"/>
          <w:numId w:val="1"/>
        </w:numPr>
        <w:tabs>
          <w:tab w:val="left" w:pos="567"/>
        </w:tabs>
        <w:spacing w:after="0" w:line="360" w:lineRule="auto"/>
        <w:ind w:left="567" w:hanging="567"/>
        <w:jc w:val="both"/>
        <w:rPr>
          <w:rFonts w:ascii="David" w:hAnsi="David" w:cs="David"/>
          <w:sz w:val="24"/>
          <w:szCs w:val="24"/>
          <w:rtl/>
        </w:rPr>
      </w:pPr>
      <w:r w:rsidRPr="00116BDC">
        <w:rPr>
          <w:rFonts w:ascii="David" w:hAnsi="David" w:cs="David"/>
          <w:sz w:val="24"/>
          <w:szCs w:val="24"/>
          <w:rtl/>
        </w:rPr>
        <w:t>בנסיבות העניין שלפני, בהתחשב בכך שהתובעת עובדת</w:t>
      </w:r>
      <w:r w:rsidR="006438B4" w:rsidRPr="00116BDC">
        <w:rPr>
          <w:rFonts w:ascii="David" w:hAnsi="David" w:cs="David" w:hint="cs"/>
          <w:sz w:val="24"/>
          <w:szCs w:val="24"/>
          <w:rtl/>
        </w:rPr>
        <w:t>; עת פוטנציאל השתכרותה נקבע בשיעור של 75% בלבד בשל הצורך לטפל בקטינים ובהתחשב בזמני השהות עמם;</w:t>
      </w:r>
      <w:r w:rsidRPr="00116BDC">
        <w:rPr>
          <w:rFonts w:ascii="David" w:hAnsi="David" w:cs="David"/>
          <w:sz w:val="24"/>
          <w:szCs w:val="24"/>
          <w:rtl/>
        </w:rPr>
        <w:t xml:space="preserve"> בהינתן שהקטינים רשומים למסגרות חינוכיות, לרבות צהרונים (</w:t>
      </w:r>
      <w:r w:rsidRPr="00116BDC">
        <w:rPr>
          <w:rFonts w:ascii="David" w:hAnsi="David" w:cs="David"/>
          <w:sz w:val="24"/>
          <w:szCs w:val="24"/>
        </w:rPr>
        <w:t> </w:t>
      </w:r>
      <w:hyperlink r:id="rId19" w:history="1">
        <w:r w:rsidRPr="00116BDC">
          <w:rPr>
            <w:rStyle w:val="Hyperlink"/>
            <w:rFonts w:ascii="David" w:hAnsi="David" w:cs="David"/>
            <w:color w:val="auto"/>
            <w:sz w:val="24"/>
            <w:szCs w:val="24"/>
            <w:u w:val="none"/>
            <w:rtl/>
          </w:rPr>
          <w:t>ע"א 4280/90</w:t>
        </w:r>
      </w:hyperlink>
      <w:r w:rsidRPr="00116BDC">
        <w:rPr>
          <w:rFonts w:ascii="David" w:hAnsi="David" w:cs="David"/>
          <w:sz w:val="24"/>
          <w:szCs w:val="24"/>
        </w:rPr>
        <w:t> </w:t>
      </w:r>
      <w:r w:rsidRPr="00116BDC">
        <w:rPr>
          <w:rFonts w:ascii="David" w:hAnsi="David" w:cs="David"/>
          <w:b/>
          <w:bCs/>
          <w:sz w:val="24"/>
          <w:szCs w:val="24"/>
          <w:rtl/>
        </w:rPr>
        <w:t>כהן נ' כהן</w:t>
      </w:r>
      <w:r w:rsidRPr="00116BDC">
        <w:rPr>
          <w:rFonts w:ascii="David" w:hAnsi="David" w:cs="David"/>
          <w:sz w:val="24"/>
          <w:szCs w:val="24"/>
          <w:rtl/>
        </w:rPr>
        <w:t xml:space="preserve">; </w:t>
      </w:r>
      <w:hyperlink r:id="rId20" w:history="1">
        <w:r w:rsidRPr="00116BDC">
          <w:rPr>
            <w:rStyle w:val="Hyperlink"/>
            <w:rFonts w:ascii="David" w:hAnsi="David" w:cs="David"/>
            <w:color w:val="auto"/>
            <w:sz w:val="24"/>
            <w:szCs w:val="24"/>
            <w:u w:val="none"/>
            <w:rtl/>
          </w:rPr>
          <w:t>ע"א 2136/90</w:t>
        </w:r>
      </w:hyperlink>
      <w:r w:rsidRPr="00116BDC">
        <w:rPr>
          <w:rFonts w:ascii="David" w:hAnsi="David" w:cs="David"/>
          <w:sz w:val="24"/>
          <w:szCs w:val="24"/>
        </w:rPr>
        <w:t> </w:t>
      </w:r>
      <w:r w:rsidRPr="00116BDC">
        <w:rPr>
          <w:rFonts w:ascii="David" w:hAnsi="David" w:cs="David"/>
          <w:b/>
          <w:bCs/>
          <w:sz w:val="24"/>
          <w:szCs w:val="24"/>
          <w:rtl/>
        </w:rPr>
        <w:t>גיל נ' גיל</w:t>
      </w:r>
      <w:r w:rsidRPr="00116BDC">
        <w:rPr>
          <w:rFonts w:ascii="David" w:hAnsi="David" w:cs="David"/>
          <w:sz w:val="24"/>
          <w:szCs w:val="24"/>
          <w:rtl/>
        </w:rPr>
        <w:t xml:space="preserve">) ובשים לב לכך שהנתבע יחויב, כמפורט להלן, במחצית הוצאות חינוך עבור הקטינים, לא מצאתי לפסוק לאם דמי טיפול בקטינים. </w:t>
      </w:r>
    </w:p>
    <w:p w:rsidR="00F12B2B" w:rsidRPr="00116BDC" w:rsidRDefault="00F12B2B" w:rsidP="00F12B2B">
      <w:pPr>
        <w:pStyle w:val="af"/>
        <w:tabs>
          <w:tab w:val="left" w:pos="567"/>
        </w:tabs>
        <w:spacing w:line="360" w:lineRule="auto"/>
        <w:ind w:left="567" w:hanging="567"/>
        <w:rPr>
          <w:rFonts w:ascii="David" w:hAnsi="David" w:cs="David"/>
          <w:sz w:val="24"/>
          <w:szCs w:val="24"/>
        </w:rPr>
      </w:pPr>
    </w:p>
    <w:p w:rsidR="00F12B2B" w:rsidRPr="00116BDC" w:rsidRDefault="00F12B2B" w:rsidP="00F12B2B">
      <w:pPr>
        <w:tabs>
          <w:tab w:val="left" w:pos="567"/>
        </w:tabs>
        <w:spacing w:line="360" w:lineRule="auto"/>
        <w:ind w:left="567" w:hanging="567"/>
        <w:jc w:val="both"/>
        <w:rPr>
          <w:rFonts w:ascii="David" w:hAnsi="David"/>
          <w:b/>
          <w:bCs/>
          <w:u w:val="single"/>
          <w:rtl/>
        </w:rPr>
      </w:pPr>
      <w:r w:rsidRPr="00116BDC">
        <w:rPr>
          <w:rFonts w:ascii="David" w:hAnsi="David"/>
          <w:b/>
          <w:bCs/>
          <w:u w:val="single"/>
          <w:rtl/>
        </w:rPr>
        <w:t>חיוב במזונות רטרואקטיביים</w:t>
      </w:r>
    </w:p>
    <w:p w:rsidR="00F12B2B" w:rsidRPr="00116BDC" w:rsidRDefault="00F12B2B" w:rsidP="00F12B2B">
      <w:pPr>
        <w:pStyle w:val="af"/>
        <w:numPr>
          <w:ilvl w:val="0"/>
          <w:numId w:val="1"/>
        </w:numPr>
        <w:tabs>
          <w:tab w:val="left" w:pos="567"/>
        </w:tabs>
        <w:spacing w:after="0" w:line="360" w:lineRule="auto"/>
        <w:ind w:left="567" w:hanging="567"/>
        <w:jc w:val="both"/>
        <w:rPr>
          <w:rFonts w:ascii="David" w:hAnsi="David" w:cs="David"/>
          <w:sz w:val="24"/>
          <w:szCs w:val="24"/>
        </w:rPr>
      </w:pPr>
      <w:r w:rsidRPr="00116BDC">
        <w:rPr>
          <w:rFonts w:ascii="David" w:hAnsi="David" w:cs="David"/>
          <w:sz w:val="24"/>
          <w:szCs w:val="24"/>
          <w:rtl/>
        </w:rPr>
        <w:t>בהחלטה למזונות זמניים מיום 8.4.2021 נפסקו מזונותיהם הזמניים של הקטינים ממועד הגשת התובענה, תוך שנקבע כדלקמן:</w:t>
      </w:r>
    </w:p>
    <w:p w:rsidR="00F12B2B" w:rsidRPr="00116BDC" w:rsidRDefault="00F12B2B" w:rsidP="00F12B2B">
      <w:pPr>
        <w:pStyle w:val="af"/>
        <w:tabs>
          <w:tab w:val="left" w:pos="567"/>
        </w:tabs>
        <w:spacing w:after="0" w:line="360" w:lineRule="auto"/>
        <w:ind w:left="567" w:hanging="567"/>
        <w:jc w:val="both"/>
        <w:rPr>
          <w:rFonts w:ascii="David" w:hAnsi="David" w:cs="David"/>
          <w:sz w:val="24"/>
          <w:szCs w:val="24"/>
        </w:rPr>
      </w:pPr>
    </w:p>
    <w:p w:rsidR="00F12B2B" w:rsidRPr="00116BDC" w:rsidRDefault="00F12B2B" w:rsidP="00F12B2B">
      <w:pPr>
        <w:pStyle w:val="af"/>
        <w:tabs>
          <w:tab w:val="left" w:pos="567"/>
        </w:tabs>
        <w:spacing w:after="0" w:line="360" w:lineRule="auto"/>
        <w:ind w:left="1134" w:right="567"/>
        <w:jc w:val="both"/>
        <w:rPr>
          <w:rFonts w:ascii="David" w:hAnsi="David" w:cs="David"/>
          <w:b/>
          <w:bCs/>
          <w:sz w:val="24"/>
          <w:szCs w:val="24"/>
        </w:rPr>
      </w:pPr>
      <w:r w:rsidRPr="00116BDC">
        <w:rPr>
          <w:rFonts w:ascii="David" w:hAnsi="David" w:cs="David"/>
          <w:b/>
          <w:bCs/>
          <w:sz w:val="24"/>
          <w:szCs w:val="24"/>
          <w:rtl/>
        </w:rPr>
        <w:t xml:space="preserve">"המבקשת ביקשה כי דמי המזונות הזמניים ייפסקו מיום הגשת הבקשה הראשונה לי"ס סכסוך לבית הדין הרבני בחודש יוני 2019.  בהתחשב בכך שאף לשיטת המבקשת הוגשה בקשה נוספת לי"ס לבית הדין הרבני ביום 24.9.20, </w:t>
      </w:r>
      <w:r w:rsidRPr="00116BDC">
        <w:rPr>
          <w:rFonts w:ascii="David" w:hAnsi="David" w:cs="David"/>
          <w:b/>
          <w:bCs/>
          <w:sz w:val="24"/>
          <w:szCs w:val="24"/>
          <w:rtl/>
        </w:rPr>
        <w:lastRenderedPageBreak/>
        <w:t>אין מקום לחיוב המשיב מיום הגשת הבקשה הראשונה לי"ס. מכל מקום, אף סוגיית חיוב המשיב במזונות זמניים מיום הגשת הבקשה לי"ס הנוספת תידון, ככל שידרש בהליך העיקרי".</w:t>
      </w:r>
    </w:p>
    <w:p w:rsidR="00F12B2B" w:rsidRPr="00116BDC" w:rsidRDefault="00F12B2B" w:rsidP="00F12B2B">
      <w:pPr>
        <w:pStyle w:val="af"/>
        <w:tabs>
          <w:tab w:val="left" w:pos="567"/>
        </w:tabs>
        <w:spacing w:after="0" w:line="360" w:lineRule="auto"/>
        <w:ind w:left="567" w:hanging="567"/>
        <w:jc w:val="both"/>
        <w:rPr>
          <w:rFonts w:ascii="David" w:hAnsi="David" w:cs="David"/>
          <w:b/>
          <w:bCs/>
          <w:sz w:val="24"/>
          <w:szCs w:val="24"/>
          <w:rtl/>
        </w:rPr>
      </w:pPr>
    </w:p>
    <w:p w:rsidR="00F12B2B" w:rsidRPr="00116BDC" w:rsidRDefault="00F12B2B" w:rsidP="00F12B2B">
      <w:pPr>
        <w:pStyle w:val="af"/>
        <w:numPr>
          <w:ilvl w:val="0"/>
          <w:numId w:val="1"/>
        </w:numPr>
        <w:tabs>
          <w:tab w:val="left" w:pos="567"/>
        </w:tabs>
        <w:spacing w:after="0" w:line="360" w:lineRule="auto"/>
        <w:ind w:left="567" w:hanging="567"/>
        <w:jc w:val="both"/>
        <w:rPr>
          <w:rFonts w:ascii="David" w:hAnsi="David" w:cs="David"/>
          <w:sz w:val="24"/>
          <w:szCs w:val="24"/>
        </w:rPr>
      </w:pPr>
      <w:r w:rsidRPr="00116BDC">
        <w:rPr>
          <w:rFonts w:ascii="David" w:hAnsi="David" w:cs="David"/>
          <w:sz w:val="24"/>
          <w:szCs w:val="24"/>
          <w:rtl/>
        </w:rPr>
        <w:t xml:space="preserve">התובעת עתרה לחיוב הנתבע במזונות הקטינים רטרואקטיבית מיום הגשת הבקשה הראשונה ליישוב סכסוך לבית הדין הרבני ועד למועד הגשת התביעה (2.3.2021), או למצער מיום הגשת הבקשה השנייה ליישוב סכסוך (ביום 24.9.2020); זאת בהסתמך על הוראת תקנה 15(ב) לתקנות להסדר התדיינויות בסכסוכי משפחה, תשע"ו-2016 ושעה שעל פי הנטען, בכל התקופה האמורה נשאה בגפה בהוצאות הקטינים מבלי שהנתבע שילם מאומה בגין מזונותיהם. </w:t>
      </w:r>
    </w:p>
    <w:p w:rsidR="00F12B2B" w:rsidRPr="00116BDC" w:rsidRDefault="00F12B2B" w:rsidP="00F12B2B">
      <w:pPr>
        <w:pStyle w:val="af"/>
        <w:tabs>
          <w:tab w:val="left" w:pos="567"/>
        </w:tabs>
        <w:spacing w:after="0" w:line="360" w:lineRule="auto"/>
        <w:ind w:left="567" w:hanging="567"/>
        <w:jc w:val="both"/>
        <w:rPr>
          <w:rFonts w:ascii="David" w:hAnsi="David" w:cs="David"/>
          <w:sz w:val="24"/>
          <w:szCs w:val="24"/>
        </w:rPr>
      </w:pPr>
    </w:p>
    <w:p w:rsidR="00F12B2B" w:rsidRPr="00116BDC" w:rsidRDefault="00F12B2B" w:rsidP="00F12B2B">
      <w:pPr>
        <w:pStyle w:val="af"/>
        <w:numPr>
          <w:ilvl w:val="0"/>
          <w:numId w:val="1"/>
        </w:numPr>
        <w:tabs>
          <w:tab w:val="left" w:pos="567"/>
        </w:tabs>
        <w:spacing w:after="0" w:line="360" w:lineRule="auto"/>
        <w:ind w:left="567" w:hanging="567"/>
        <w:jc w:val="both"/>
        <w:rPr>
          <w:rFonts w:ascii="David" w:hAnsi="David" w:cs="David"/>
          <w:sz w:val="24"/>
          <w:szCs w:val="24"/>
        </w:rPr>
      </w:pPr>
      <w:r w:rsidRPr="00116BDC">
        <w:rPr>
          <w:rFonts w:ascii="David" w:hAnsi="David" w:cs="David"/>
          <w:sz w:val="24"/>
          <w:szCs w:val="24"/>
          <w:rtl/>
        </w:rPr>
        <w:t xml:space="preserve">לעמדת הנתבע, יש לדחות עתירת התובעת לחיובו במזונות רטרואקטיביים שעה שקיבלה לידיה כספים רבים בתקופה זו, לרבות כספים במזומן. </w:t>
      </w:r>
    </w:p>
    <w:p w:rsidR="00F12B2B" w:rsidRPr="00116BDC" w:rsidRDefault="00F12B2B" w:rsidP="00F12B2B">
      <w:pPr>
        <w:pStyle w:val="af"/>
        <w:tabs>
          <w:tab w:val="left" w:pos="567"/>
        </w:tabs>
        <w:spacing w:line="360" w:lineRule="auto"/>
        <w:ind w:left="567" w:hanging="567"/>
        <w:rPr>
          <w:rFonts w:ascii="David" w:hAnsi="David" w:cs="David"/>
          <w:sz w:val="24"/>
          <w:szCs w:val="24"/>
        </w:rPr>
      </w:pPr>
    </w:p>
    <w:p w:rsidR="00F12B2B" w:rsidRPr="00116BDC" w:rsidRDefault="00F12B2B" w:rsidP="00F12B2B">
      <w:pPr>
        <w:pStyle w:val="af"/>
        <w:numPr>
          <w:ilvl w:val="0"/>
          <w:numId w:val="1"/>
        </w:numPr>
        <w:tabs>
          <w:tab w:val="left" w:pos="567"/>
        </w:tabs>
        <w:spacing w:after="0" w:line="360" w:lineRule="auto"/>
        <w:ind w:left="567" w:hanging="567"/>
        <w:jc w:val="both"/>
        <w:rPr>
          <w:rFonts w:ascii="David" w:hAnsi="David" w:cs="David"/>
          <w:sz w:val="24"/>
          <w:szCs w:val="24"/>
          <w:rtl/>
        </w:rPr>
      </w:pPr>
      <w:r w:rsidRPr="00116BDC">
        <w:rPr>
          <w:rFonts w:ascii="David" w:hAnsi="David" w:cs="David"/>
          <w:sz w:val="24"/>
          <w:szCs w:val="24"/>
          <w:rtl/>
        </w:rPr>
        <w:t xml:space="preserve">במכלול נסיבות העניין שלפניי, לא מצאתי לחייב הנתבע בתשלום מזונות באופן רטרואקטיבי למן יום הגשת הבקשה ליישוב סכסוך. </w:t>
      </w:r>
    </w:p>
    <w:p w:rsidR="00F12B2B" w:rsidRPr="00116BDC" w:rsidRDefault="00F12B2B" w:rsidP="00F12B2B">
      <w:pPr>
        <w:pStyle w:val="af"/>
        <w:tabs>
          <w:tab w:val="left" w:pos="567"/>
        </w:tabs>
        <w:spacing w:line="360" w:lineRule="auto"/>
        <w:ind w:left="567" w:hanging="567"/>
        <w:rPr>
          <w:rFonts w:ascii="David" w:hAnsi="David" w:cs="David"/>
          <w:sz w:val="24"/>
          <w:szCs w:val="24"/>
        </w:rPr>
      </w:pPr>
    </w:p>
    <w:p w:rsidR="00F12B2B" w:rsidRPr="00116BDC" w:rsidRDefault="00F12B2B" w:rsidP="00F12B2B">
      <w:pPr>
        <w:pStyle w:val="af"/>
        <w:numPr>
          <w:ilvl w:val="0"/>
          <w:numId w:val="1"/>
        </w:numPr>
        <w:tabs>
          <w:tab w:val="left" w:pos="567"/>
        </w:tabs>
        <w:spacing w:after="0" w:line="360" w:lineRule="auto"/>
        <w:ind w:left="567" w:hanging="567"/>
        <w:jc w:val="both"/>
        <w:rPr>
          <w:rFonts w:ascii="David" w:hAnsi="David" w:cs="David"/>
          <w:sz w:val="24"/>
          <w:szCs w:val="24"/>
          <w:rtl/>
        </w:rPr>
      </w:pPr>
      <w:r w:rsidRPr="00116BDC">
        <w:rPr>
          <w:rFonts w:ascii="David" w:hAnsi="David" w:cs="David"/>
          <w:sz w:val="24"/>
          <w:szCs w:val="24"/>
          <w:rtl/>
        </w:rPr>
        <w:t xml:space="preserve">בהחלטת בית המשפט מיום 8.4.2021 דחה בית המשפט עתירת התובעת לחיוב המשיב במזונות זמניים מיום הגשת הבקשה הראשונה ליישוב סכסוך (בחודש יוני 2019), זאת בהתחשב בהגשתה של הבקשה הנוספת ליישוב סכסוך ביום 24.9.2020. מכאן, כי התובעת מושתקת לעתור למזונות מיום הגשת הבקשה הראשונה לי"ס. </w:t>
      </w:r>
    </w:p>
    <w:p w:rsidR="00F12B2B" w:rsidRPr="00116BDC" w:rsidRDefault="00F12B2B" w:rsidP="00F12B2B">
      <w:pPr>
        <w:pStyle w:val="af"/>
        <w:tabs>
          <w:tab w:val="left" w:pos="567"/>
        </w:tabs>
        <w:spacing w:line="360" w:lineRule="auto"/>
        <w:ind w:left="567" w:hanging="567"/>
        <w:rPr>
          <w:rFonts w:ascii="David" w:hAnsi="David" w:cs="David"/>
          <w:sz w:val="24"/>
          <w:szCs w:val="24"/>
        </w:rPr>
      </w:pPr>
    </w:p>
    <w:p w:rsidR="00F12B2B" w:rsidRPr="00116BDC" w:rsidRDefault="00F12B2B" w:rsidP="00F12B2B">
      <w:pPr>
        <w:pStyle w:val="af"/>
        <w:numPr>
          <w:ilvl w:val="0"/>
          <w:numId w:val="1"/>
        </w:numPr>
        <w:tabs>
          <w:tab w:val="left" w:pos="567"/>
        </w:tabs>
        <w:spacing w:after="0" w:line="360" w:lineRule="auto"/>
        <w:ind w:left="567" w:hanging="567"/>
        <w:jc w:val="both"/>
        <w:rPr>
          <w:rFonts w:ascii="David" w:hAnsi="David" w:cs="David"/>
          <w:sz w:val="24"/>
          <w:szCs w:val="24"/>
          <w:rtl/>
        </w:rPr>
      </w:pPr>
      <w:r w:rsidRPr="00116BDC">
        <w:rPr>
          <w:rFonts w:ascii="David" w:hAnsi="David" w:cs="David"/>
          <w:sz w:val="24"/>
          <w:szCs w:val="24"/>
          <w:rtl/>
        </w:rPr>
        <w:t>אשר לחיוב הנתבע במזונות זמניים מיום הגשת הבקשה השנייה ליישוב סכסוך – במכלול נסיבות העניין שלפניי, הואיל ועל יסוד הראיות שהוצגו ועדויות הצדדים השתכנעתי כי הנתבע נשא, ולו באופן חלקי, במזונותיהם של הקטינים לאחר הפירוד בין הצדדים (ר' נספח ח' לתצהיר עדותו הראשית של הנתבע); שעה שאין חולק כי עד לחודש ספטמבר 2021 נשא הנתבע במלוא החזר המשכנתא הרובצת על הדירה ובדמי ביטוח המשכנתא; לאור התוצאה אליה הגעתי בדבר היקף חיוב הנתבע במזונות הקטינים כמפורט לעיל ובשים לב לשיהוי הננקט על ידי התובעת בהגשת סיכום טענותיה, אף לא מצאתי לחייב הנתבע במזונות רטרואקטיביים מיום הגשת הבקשה השנייה ליישוב סכסוך.</w:t>
      </w:r>
    </w:p>
    <w:p w:rsidR="00F12B2B" w:rsidRPr="00116BDC" w:rsidRDefault="00F12B2B" w:rsidP="00F12B2B">
      <w:pPr>
        <w:pStyle w:val="af"/>
        <w:tabs>
          <w:tab w:val="left" w:pos="567"/>
        </w:tabs>
        <w:spacing w:line="360" w:lineRule="auto"/>
        <w:ind w:left="567" w:hanging="567"/>
        <w:rPr>
          <w:rFonts w:ascii="David" w:hAnsi="David" w:cs="David"/>
          <w:sz w:val="24"/>
          <w:szCs w:val="24"/>
        </w:rPr>
      </w:pPr>
    </w:p>
    <w:p w:rsidR="00F12B2B" w:rsidRPr="00116BDC" w:rsidRDefault="00F12B2B" w:rsidP="00F12B2B">
      <w:pPr>
        <w:tabs>
          <w:tab w:val="left" w:pos="567"/>
        </w:tabs>
        <w:spacing w:line="360" w:lineRule="auto"/>
        <w:ind w:left="567" w:hanging="567"/>
        <w:jc w:val="both"/>
        <w:rPr>
          <w:rFonts w:ascii="David" w:hAnsi="David"/>
          <w:b/>
          <w:bCs/>
          <w:u w:val="single"/>
          <w:rtl/>
        </w:rPr>
      </w:pPr>
      <w:r w:rsidRPr="00116BDC">
        <w:rPr>
          <w:rFonts w:ascii="David" w:hAnsi="David"/>
          <w:b/>
          <w:bCs/>
          <w:u w:val="single"/>
          <w:rtl/>
        </w:rPr>
        <w:t>חלוקת קצבאות הילדים והמענקים המשתלמים עבור הקטינים</w:t>
      </w:r>
    </w:p>
    <w:p w:rsidR="00F12B2B" w:rsidRPr="00116BDC" w:rsidRDefault="00F12B2B" w:rsidP="00F12B2B">
      <w:pPr>
        <w:pStyle w:val="af"/>
        <w:tabs>
          <w:tab w:val="left" w:pos="567"/>
        </w:tabs>
        <w:spacing w:line="360" w:lineRule="auto"/>
        <w:ind w:left="567" w:hanging="567"/>
        <w:rPr>
          <w:rFonts w:ascii="David" w:hAnsi="David" w:cs="David"/>
          <w:sz w:val="24"/>
          <w:szCs w:val="24"/>
        </w:rPr>
      </w:pPr>
    </w:p>
    <w:p w:rsidR="00F12B2B" w:rsidRPr="00116BDC" w:rsidRDefault="00F12B2B" w:rsidP="00F12B2B">
      <w:pPr>
        <w:pStyle w:val="af"/>
        <w:numPr>
          <w:ilvl w:val="0"/>
          <w:numId w:val="1"/>
        </w:numPr>
        <w:tabs>
          <w:tab w:val="left" w:pos="567"/>
        </w:tabs>
        <w:spacing w:after="0" w:line="360" w:lineRule="auto"/>
        <w:ind w:left="567" w:hanging="567"/>
        <w:jc w:val="both"/>
        <w:rPr>
          <w:rFonts w:ascii="David" w:hAnsi="David" w:cs="David"/>
          <w:sz w:val="24"/>
          <w:szCs w:val="24"/>
          <w:rtl/>
        </w:rPr>
      </w:pPr>
      <w:r w:rsidRPr="00116BDC">
        <w:rPr>
          <w:rFonts w:ascii="David" w:hAnsi="David" w:cs="David"/>
          <w:sz w:val="24"/>
          <w:szCs w:val="24"/>
          <w:rtl/>
        </w:rPr>
        <w:t>בסיכומיו ביקש הנתבע, כי קצבאות הילדים והמענקים עבור הילדים מהמוסד לביטוח לאומי יועברו לשני ההורים בחלקים שווים וככל שישולמו בפועל לידי הורה אחד, יעביר המחצית להורה השני.</w:t>
      </w:r>
    </w:p>
    <w:p w:rsidR="00F12B2B" w:rsidRPr="00116BDC" w:rsidRDefault="00F12B2B" w:rsidP="00F12B2B">
      <w:pPr>
        <w:pStyle w:val="af"/>
        <w:numPr>
          <w:ilvl w:val="0"/>
          <w:numId w:val="1"/>
        </w:numPr>
        <w:tabs>
          <w:tab w:val="left" w:pos="567"/>
        </w:tabs>
        <w:spacing w:after="0" w:line="360" w:lineRule="auto"/>
        <w:ind w:left="567" w:hanging="567"/>
        <w:jc w:val="both"/>
        <w:rPr>
          <w:rFonts w:ascii="David" w:hAnsi="David" w:cs="David"/>
          <w:sz w:val="24"/>
          <w:szCs w:val="24"/>
        </w:rPr>
      </w:pPr>
      <w:r w:rsidRPr="00116BDC">
        <w:rPr>
          <w:rFonts w:ascii="David" w:hAnsi="David" w:cs="David"/>
          <w:sz w:val="24"/>
          <w:szCs w:val="24"/>
          <w:rtl/>
        </w:rPr>
        <w:lastRenderedPageBreak/>
        <w:t>עתירת הנתבע הועלתה לראשונה בסיכומי הנתבע ומהווה הרחבת חזית ודי בכך כדי לדחותה על הסף.</w:t>
      </w:r>
    </w:p>
    <w:p w:rsidR="00F12B2B" w:rsidRPr="00116BDC" w:rsidRDefault="00F12B2B" w:rsidP="00F12B2B">
      <w:pPr>
        <w:pStyle w:val="af"/>
        <w:tabs>
          <w:tab w:val="left" w:pos="567"/>
        </w:tabs>
        <w:spacing w:line="360" w:lineRule="auto"/>
        <w:ind w:left="567" w:hanging="567"/>
        <w:rPr>
          <w:rFonts w:ascii="David" w:hAnsi="David" w:cs="David"/>
          <w:sz w:val="24"/>
          <w:szCs w:val="24"/>
        </w:rPr>
      </w:pPr>
    </w:p>
    <w:p w:rsidR="00F12B2B" w:rsidRPr="00116BDC" w:rsidRDefault="00F12B2B" w:rsidP="00F12B2B">
      <w:pPr>
        <w:pStyle w:val="af"/>
        <w:numPr>
          <w:ilvl w:val="0"/>
          <w:numId w:val="1"/>
        </w:numPr>
        <w:tabs>
          <w:tab w:val="left" w:pos="567"/>
        </w:tabs>
        <w:spacing w:after="0" w:line="360" w:lineRule="auto"/>
        <w:ind w:left="567" w:hanging="567"/>
        <w:jc w:val="both"/>
        <w:rPr>
          <w:rFonts w:ascii="David" w:hAnsi="David" w:cs="David"/>
          <w:sz w:val="24"/>
          <w:szCs w:val="24"/>
          <w:rtl/>
        </w:rPr>
      </w:pPr>
      <w:r w:rsidRPr="00116BDC">
        <w:rPr>
          <w:rFonts w:ascii="David" w:hAnsi="David" w:cs="David"/>
          <w:sz w:val="24"/>
          <w:szCs w:val="24"/>
          <w:rtl/>
        </w:rPr>
        <w:t xml:space="preserve">מעבר לכך, מצאתי לדחות עתירת הנתבע אף לגופה. </w:t>
      </w:r>
    </w:p>
    <w:p w:rsidR="00F12B2B" w:rsidRPr="00116BDC" w:rsidRDefault="00F12B2B" w:rsidP="00F12B2B">
      <w:pPr>
        <w:tabs>
          <w:tab w:val="left" w:pos="567"/>
        </w:tabs>
        <w:spacing w:line="360" w:lineRule="auto"/>
        <w:ind w:left="567" w:hanging="567"/>
        <w:jc w:val="both"/>
        <w:rPr>
          <w:rFonts w:ascii="David" w:hAnsi="David"/>
        </w:rPr>
      </w:pPr>
    </w:p>
    <w:p w:rsidR="00F12B2B" w:rsidRPr="00116BDC" w:rsidRDefault="00F12B2B" w:rsidP="00F12B2B">
      <w:pPr>
        <w:pStyle w:val="af"/>
        <w:tabs>
          <w:tab w:val="left" w:pos="567"/>
        </w:tabs>
        <w:spacing w:after="0" w:line="360" w:lineRule="auto"/>
        <w:ind w:left="567" w:hanging="567"/>
        <w:jc w:val="both"/>
        <w:rPr>
          <w:rFonts w:ascii="David" w:hAnsi="David" w:cs="David"/>
          <w:sz w:val="24"/>
          <w:szCs w:val="24"/>
        </w:rPr>
      </w:pPr>
      <w:r w:rsidRPr="00116BDC">
        <w:rPr>
          <w:rFonts w:ascii="David" w:hAnsi="David" w:cs="David"/>
          <w:sz w:val="24"/>
          <w:szCs w:val="24"/>
          <w:rtl/>
        </w:rPr>
        <w:tab/>
        <w:t>בפסק הדין בתובענה בענייני הקטינים (תלה"מ 5092-03-21) נקבע, כי "האם תיחשב ל"משמורנית" בכל הנוגע לקבלת קצבאות הקטינים וההטבות מהרשויות המקומיות, המל"ל וכל גורם אחר, ככל שישנם". לפיכך, הנתבע מושתק לטעון, כי יש לחלק קצבת הילדים באופן שווה בין הצדדים.</w:t>
      </w:r>
    </w:p>
    <w:p w:rsidR="00F12B2B" w:rsidRPr="00116BDC" w:rsidRDefault="00F12B2B" w:rsidP="00F12B2B">
      <w:pPr>
        <w:tabs>
          <w:tab w:val="left" w:pos="567"/>
        </w:tabs>
        <w:spacing w:line="360" w:lineRule="auto"/>
        <w:ind w:left="567" w:hanging="567"/>
        <w:jc w:val="both"/>
        <w:rPr>
          <w:rFonts w:ascii="David" w:hAnsi="David"/>
          <w:rtl/>
        </w:rPr>
      </w:pPr>
    </w:p>
    <w:p w:rsidR="00F12B2B" w:rsidRPr="00116BDC" w:rsidRDefault="00F12B2B" w:rsidP="00F12B2B">
      <w:pPr>
        <w:pStyle w:val="af"/>
        <w:tabs>
          <w:tab w:val="left" w:pos="567"/>
        </w:tabs>
        <w:spacing w:after="0" w:line="360" w:lineRule="auto"/>
        <w:ind w:left="567" w:hanging="567"/>
        <w:jc w:val="both"/>
        <w:rPr>
          <w:rFonts w:ascii="David" w:hAnsi="David" w:cs="David"/>
          <w:sz w:val="24"/>
          <w:szCs w:val="24"/>
          <w:rtl/>
        </w:rPr>
      </w:pPr>
      <w:r w:rsidRPr="00116BDC">
        <w:rPr>
          <w:rFonts w:ascii="David" w:hAnsi="David" w:cs="David"/>
          <w:sz w:val="24"/>
          <w:szCs w:val="24"/>
          <w:rtl/>
        </w:rPr>
        <w:tab/>
        <w:t xml:space="preserve">על האמור יש להוסיף, כי נקבע שהאם היא זו אשר נושאת בעיקר נטל גידולם של הקטינים ומכך יש להעביר הקצבאות - שתכליתן מימון צרכי הקטינים - לגורם אשר נושא בנטל גידולם. </w:t>
      </w:r>
    </w:p>
    <w:p w:rsidR="00F12B2B" w:rsidRPr="00116BDC" w:rsidRDefault="00F12B2B" w:rsidP="00F12B2B">
      <w:pPr>
        <w:pStyle w:val="af"/>
        <w:tabs>
          <w:tab w:val="left" w:pos="567"/>
        </w:tabs>
        <w:spacing w:after="0" w:line="360" w:lineRule="auto"/>
        <w:ind w:left="567" w:hanging="567"/>
        <w:jc w:val="both"/>
        <w:rPr>
          <w:rFonts w:ascii="David" w:hAnsi="David" w:cs="David"/>
          <w:sz w:val="24"/>
          <w:szCs w:val="24"/>
        </w:rPr>
      </w:pPr>
    </w:p>
    <w:p w:rsidR="00F12B2B" w:rsidRPr="00116BDC" w:rsidRDefault="00F12B2B" w:rsidP="00F12B2B">
      <w:pPr>
        <w:pStyle w:val="af"/>
        <w:tabs>
          <w:tab w:val="left" w:pos="567"/>
        </w:tabs>
        <w:spacing w:after="0" w:line="360" w:lineRule="auto"/>
        <w:ind w:left="567" w:hanging="567"/>
        <w:jc w:val="both"/>
        <w:rPr>
          <w:rFonts w:ascii="David" w:hAnsi="David" w:cs="David"/>
          <w:sz w:val="24"/>
          <w:szCs w:val="24"/>
        </w:rPr>
      </w:pPr>
      <w:r w:rsidRPr="00116BDC">
        <w:rPr>
          <w:rFonts w:ascii="David" w:hAnsi="David" w:cs="David"/>
          <w:sz w:val="24"/>
          <w:szCs w:val="24"/>
          <w:rtl/>
        </w:rPr>
        <w:tab/>
        <w:t>ממילא, קצבאות הקטינים נזקפו להכנסתה של האם ומשכך שוקללו הלכה למעשה בחישוב יחס הכנסות הצדדים.</w:t>
      </w:r>
    </w:p>
    <w:p w:rsidR="00F12B2B" w:rsidRPr="00116BDC" w:rsidRDefault="00F12B2B" w:rsidP="00F12B2B">
      <w:pPr>
        <w:pStyle w:val="af"/>
        <w:tabs>
          <w:tab w:val="left" w:pos="567"/>
        </w:tabs>
        <w:spacing w:after="0" w:line="360" w:lineRule="auto"/>
        <w:ind w:left="567" w:hanging="567"/>
        <w:jc w:val="both"/>
        <w:rPr>
          <w:rFonts w:ascii="David" w:hAnsi="David" w:cs="David"/>
          <w:sz w:val="24"/>
          <w:szCs w:val="24"/>
          <w:rtl/>
        </w:rPr>
      </w:pPr>
    </w:p>
    <w:p w:rsidR="00F12B2B" w:rsidRPr="00116BDC" w:rsidRDefault="00F12B2B" w:rsidP="00F12B2B">
      <w:pPr>
        <w:tabs>
          <w:tab w:val="left" w:pos="567"/>
        </w:tabs>
        <w:spacing w:line="360" w:lineRule="auto"/>
        <w:jc w:val="both"/>
        <w:rPr>
          <w:rFonts w:ascii="David" w:hAnsi="David"/>
          <w:b/>
          <w:bCs/>
          <w:u w:val="single"/>
          <w:rtl/>
        </w:rPr>
      </w:pPr>
      <w:bookmarkStart w:id="0" w:name="_GoBack"/>
      <w:r w:rsidRPr="00116BDC">
        <w:rPr>
          <w:rFonts w:ascii="David" w:hAnsi="David"/>
          <w:b/>
          <w:bCs/>
          <w:u w:val="single"/>
          <w:rtl/>
        </w:rPr>
        <w:t xml:space="preserve">חבילת </w:t>
      </w:r>
      <w:bookmarkEnd w:id="0"/>
      <w:r w:rsidRPr="00116BDC">
        <w:rPr>
          <w:rFonts w:ascii="David" w:hAnsi="David"/>
          <w:b/>
          <w:bCs/>
          <w:u w:val="single"/>
          <w:rtl/>
        </w:rPr>
        <w:t>לידה</w:t>
      </w:r>
    </w:p>
    <w:p w:rsidR="00F12B2B" w:rsidRPr="00116BDC" w:rsidRDefault="00F12B2B" w:rsidP="00E731CA">
      <w:pPr>
        <w:pStyle w:val="af"/>
        <w:numPr>
          <w:ilvl w:val="0"/>
          <w:numId w:val="1"/>
        </w:numPr>
        <w:tabs>
          <w:tab w:val="left" w:pos="567"/>
        </w:tabs>
        <w:spacing w:after="0" w:line="360" w:lineRule="auto"/>
        <w:ind w:left="567" w:hanging="567"/>
        <w:jc w:val="both"/>
        <w:rPr>
          <w:rFonts w:ascii="David" w:hAnsi="David" w:cs="David"/>
          <w:sz w:val="24"/>
          <w:szCs w:val="24"/>
          <w:rtl/>
        </w:rPr>
      </w:pPr>
      <w:r w:rsidRPr="00116BDC">
        <w:rPr>
          <w:rFonts w:ascii="David" w:hAnsi="David" w:cs="David"/>
          <w:sz w:val="24"/>
          <w:szCs w:val="24"/>
          <w:rtl/>
        </w:rPr>
        <w:t xml:space="preserve">האם עתרה לחיוב הנתבע בתשלום מחצית מהוצאות רכישת הלידה עבור הקטין </w:t>
      </w:r>
      <w:r w:rsidR="00E731CA">
        <w:rPr>
          <w:rFonts w:ascii="David" w:hAnsi="David" w:cs="David" w:hint="cs"/>
          <w:sz w:val="24"/>
          <w:szCs w:val="24"/>
          <w:rtl/>
        </w:rPr>
        <w:t>י'</w:t>
      </w:r>
      <w:r w:rsidRPr="00116BDC">
        <w:rPr>
          <w:rFonts w:ascii="David" w:hAnsi="David" w:cs="David"/>
          <w:sz w:val="24"/>
          <w:szCs w:val="24"/>
          <w:rtl/>
        </w:rPr>
        <w:t xml:space="preserve"> בסך של 1,750 ₪. דא עקא, האם לא צירפה ולו ראשית ראיה להוכחת טענתה ברכיב זה, גם ביחס לעצם ההוצאה ולא ביחס לסכומה, ולפיכך מצאתי לדחותה.</w:t>
      </w:r>
    </w:p>
    <w:p w:rsidR="00F12B2B" w:rsidRPr="00116BDC" w:rsidRDefault="00F12B2B" w:rsidP="00F12B2B">
      <w:pPr>
        <w:pStyle w:val="af"/>
        <w:tabs>
          <w:tab w:val="left" w:pos="567"/>
        </w:tabs>
        <w:spacing w:after="0" w:line="360" w:lineRule="auto"/>
        <w:ind w:left="567" w:hanging="567"/>
        <w:jc w:val="both"/>
        <w:rPr>
          <w:rFonts w:ascii="David" w:hAnsi="David" w:cs="David"/>
          <w:sz w:val="24"/>
          <w:szCs w:val="24"/>
        </w:rPr>
      </w:pPr>
    </w:p>
    <w:p w:rsidR="00F12B2B" w:rsidRPr="00116BDC" w:rsidRDefault="00F12B2B" w:rsidP="00F12B2B">
      <w:pPr>
        <w:tabs>
          <w:tab w:val="left" w:pos="567"/>
        </w:tabs>
        <w:spacing w:line="360" w:lineRule="auto"/>
        <w:ind w:left="567" w:hanging="567"/>
        <w:jc w:val="both"/>
        <w:rPr>
          <w:rFonts w:ascii="David" w:hAnsi="David"/>
          <w:rtl/>
        </w:rPr>
      </w:pPr>
    </w:p>
    <w:p w:rsidR="00F12B2B" w:rsidRPr="00116BDC" w:rsidRDefault="00F12B2B" w:rsidP="00F12B2B">
      <w:pPr>
        <w:tabs>
          <w:tab w:val="left" w:pos="567"/>
        </w:tabs>
        <w:spacing w:line="360" w:lineRule="auto"/>
        <w:ind w:left="567" w:hanging="567"/>
        <w:jc w:val="both"/>
        <w:rPr>
          <w:rFonts w:ascii="David" w:hAnsi="David"/>
          <w:b/>
          <w:bCs/>
          <w:u w:val="single"/>
          <w:rtl/>
        </w:rPr>
      </w:pPr>
      <w:r w:rsidRPr="00116BDC">
        <w:rPr>
          <w:rFonts w:ascii="David" w:hAnsi="David"/>
          <w:b/>
          <w:bCs/>
          <w:u w:val="single"/>
          <w:rtl/>
        </w:rPr>
        <w:t>סיכום אופרטיבי וסוף דבר</w:t>
      </w:r>
    </w:p>
    <w:p w:rsidR="00F12B2B" w:rsidRPr="00116BDC" w:rsidRDefault="00F12B2B" w:rsidP="00F12B2B">
      <w:pPr>
        <w:tabs>
          <w:tab w:val="left" w:pos="567"/>
        </w:tabs>
        <w:spacing w:line="360" w:lineRule="auto"/>
        <w:ind w:left="567" w:hanging="567"/>
        <w:jc w:val="both"/>
        <w:rPr>
          <w:rFonts w:ascii="David" w:hAnsi="David"/>
          <w:b/>
          <w:bCs/>
          <w:u w:val="single"/>
          <w:rtl/>
        </w:rPr>
      </w:pPr>
    </w:p>
    <w:p w:rsidR="00F12B2B" w:rsidRPr="00116BDC" w:rsidRDefault="00F12B2B" w:rsidP="00E731CA">
      <w:pPr>
        <w:pStyle w:val="af"/>
        <w:numPr>
          <w:ilvl w:val="0"/>
          <w:numId w:val="1"/>
        </w:numPr>
        <w:tabs>
          <w:tab w:val="left" w:pos="567"/>
        </w:tabs>
        <w:spacing w:after="0" w:line="360" w:lineRule="auto"/>
        <w:ind w:left="567" w:hanging="567"/>
        <w:jc w:val="both"/>
        <w:rPr>
          <w:rFonts w:ascii="David" w:hAnsi="David" w:cs="David"/>
          <w:sz w:val="24"/>
          <w:szCs w:val="24"/>
          <w:rtl/>
        </w:rPr>
      </w:pPr>
      <w:r w:rsidRPr="00116BDC">
        <w:rPr>
          <w:rFonts w:ascii="David" w:hAnsi="David" w:cs="David"/>
          <w:sz w:val="24"/>
          <w:szCs w:val="24"/>
          <w:rtl/>
        </w:rPr>
        <w:t xml:space="preserve">האב ישלם לידי האם למזונות ארבעת הקטינים סך של 2,800 ₪ בחודש (על פי המפורט בסעיף 59 לפסק הדין). עם הגיעו של הקטין </w:t>
      </w:r>
      <w:r w:rsidR="00E731CA">
        <w:rPr>
          <w:rFonts w:ascii="David" w:hAnsi="David" w:cs="David" w:hint="cs"/>
          <w:sz w:val="24"/>
          <w:szCs w:val="24"/>
          <w:rtl/>
        </w:rPr>
        <w:t>י'</w:t>
      </w:r>
      <w:r w:rsidRPr="00116BDC">
        <w:rPr>
          <w:rFonts w:ascii="David" w:hAnsi="David" w:cs="David"/>
          <w:sz w:val="24"/>
          <w:szCs w:val="24"/>
          <w:rtl/>
        </w:rPr>
        <w:t xml:space="preserve"> לגיל 6 (ב-8.3.2026), יופחתו דמי המזונות והאב יישא במזונות ארבעת הקטינים בסכום של 2,400 ₪ (600 ₪ לכל קטין). </w:t>
      </w:r>
    </w:p>
    <w:p w:rsidR="00F12B2B" w:rsidRPr="00116BDC" w:rsidRDefault="00F12B2B" w:rsidP="00F12B2B">
      <w:pPr>
        <w:pStyle w:val="af"/>
        <w:tabs>
          <w:tab w:val="left" w:pos="567"/>
        </w:tabs>
        <w:spacing w:after="0" w:line="360" w:lineRule="auto"/>
        <w:ind w:left="567"/>
        <w:jc w:val="both"/>
        <w:rPr>
          <w:rFonts w:ascii="David" w:hAnsi="David" w:cs="David"/>
          <w:sz w:val="24"/>
          <w:szCs w:val="24"/>
        </w:rPr>
      </w:pPr>
    </w:p>
    <w:p w:rsidR="00F12B2B" w:rsidRPr="00116BDC" w:rsidRDefault="00F12B2B" w:rsidP="00F12B2B">
      <w:pPr>
        <w:pStyle w:val="af"/>
        <w:tabs>
          <w:tab w:val="left" w:pos="567"/>
        </w:tabs>
        <w:spacing w:after="0" w:line="360" w:lineRule="auto"/>
        <w:ind w:left="567"/>
        <w:jc w:val="both"/>
        <w:rPr>
          <w:rFonts w:ascii="David" w:hAnsi="David" w:cs="David"/>
          <w:sz w:val="24"/>
          <w:szCs w:val="24"/>
        </w:rPr>
      </w:pPr>
      <w:r w:rsidRPr="00116BDC">
        <w:rPr>
          <w:rFonts w:ascii="David" w:hAnsi="David" w:cs="David"/>
          <w:sz w:val="24"/>
          <w:szCs w:val="24"/>
          <w:rtl/>
        </w:rPr>
        <w:t>נוסף על כך, עבור מדור הקטינים ובכפוף להצגת אסמכתה מתאימה, ישלם האב סכום של 2,420 ₪ בחודש (על פי המפורט בסעיף 69 לפסק הדין), אשר יתווסף למזונות השוטפים.</w:t>
      </w:r>
    </w:p>
    <w:p w:rsidR="00F12B2B" w:rsidRPr="00116BDC" w:rsidRDefault="00F12B2B" w:rsidP="00F12B2B">
      <w:pPr>
        <w:tabs>
          <w:tab w:val="left" w:pos="567"/>
        </w:tabs>
        <w:spacing w:line="360" w:lineRule="auto"/>
        <w:jc w:val="both"/>
        <w:rPr>
          <w:rFonts w:ascii="David" w:hAnsi="David"/>
          <w:rtl/>
        </w:rPr>
      </w:pPr>
    </w:p>
    <w:p w:rsidR="00F12B2B" w:rsidRPr="00116BDC" w:rsidRDefault="00F12B2B" w:rsidP="00F12B2B">
      <w:pPr>
        <w:pStyle w:val="af"/>
        <w:numPr>
          <w:ilvl w:val="0"/>
          <w:numId w:val="1"/>
        </w:numPr>
        <w:tabs>
          <w:tab w:val="left" w:pos="567"/>
        </w:tabs>
        <w:spacing w:after="0" w:line="360" w:lineRule="auto"/>
        <w:ind w:left="567" w:hanging="567"/>
        <w:jc w:val="both"/>
        <w:rPr>
          <w:rFonts w:ascii="David" w:hAnsi="David" w:cs="David"/>
          <w:sz w:val="24"/>
          <w:szCs w:val="24"/>
        </w:rPr>
      </w:pPr>
      <w:r w:rsidRPr="00116BDC">
        <w:rPr>
          <w:rFonts w:ascii="David" w:hAnsi="David" w:cs="David"/>
          <w:sz w:val="24"/>
          <w:szCs w:val="24"/>
          <w:rtl/>
        </w:rPr>
        <w:t>דמי המזונות ישולמו עד הגיעם לגיל 18 שנה או סיום לימודיהם התיכוניים, לפי המאוחר מבין השניים.</w:t>
      </w:r>
    </w:p>
    <w:p w:rsidR="00F12B2B" w:rsidRPr="00116BDC" w:rsidRDefault="00F12B2B" w:rsidP="00F12B2B">
      <w:pPr>
        <w:pStyle w:val="af"/>
        <w:tabs>
          <w:tab w:val="left" w:pos="567"/>
        </w:tabs>
        <w:spacing w:after="0" w:line="360" w:lineRule="auto"/>
        <w:ind w:left="567"/>
        <w:jc w:val="both"/>
        <w:rPr>
          <w:rFonts w:ascii="David" w:hAnsi="David" w:cs="David"/>
          <w:sz w:val="24"/>
          <w:szCs w:val="24"/>
        </w:rPr>
      </w:pPr>
    </w:p>
    <w:p w:rsidR="00F12B2B" w:rsidRPr="00116BDC" w:rsidRDefault="00F12B2B" w:rsidP="00F12B2B">
      <w:pPr>
        <w:pStyle w:val="af"/>
        <w:spacing w:line="360" w:lineRule="auto"/>
        <w:ind w:left="567"/>
        <w:jc w:val="both"/>
        <w:rPr>
          <w:rFonts w:ascii="David" w:hAnsi="David" w:cs="David"/>
          <w:sz w:val="24"/>
          <w:szCs w:val="24"/>
        </w:rPr>
      </w:pPr>
      <w:r w:rsidRPr="00116BDC">
        <w:rPr>
          <w:rFonts w:ascii="David" w:hAnsi="David" w:cs="David"/>
          <w:sz w:val="24"/>
          <w:szCs w:val="24"/>
          <w:rtl/>
        </w:rPr>
        <w:lastRenderedPageBreak/>
        <w:t>ממועד זה ובתקופת השירות הצבאי (חובה) ו/או שירות הלאומי, יעמדו דמי המזונות על שליש – כפי גובהם ערב תשלומם. מובהר, כי ביצוע שירות צבאי ו/או שירות לאומי הוא תנאי לחיוב האב בתשלום זה.</w:t>
      </w:r>
    </w:p>
    <w:p w:rsidR="00F12B2B" w:rsidRPr="00116BDC" w:rsidRDefault="00F12B2B" w:rsidP="00F12B2B">
      <w:pPr>
        <w:pStyle w:val="af"/>
        <w:rPr>
          <w:rFonts w:ascii="David" w:hAnsi="David" w:cs="David"/>
          <w:sz w:val="24"/>
          <w:szCs w:val="24"/>
        </w:rPr>
      </w:pPr>
    </w:p>
    <w:p w:rsidR="00F12B2B" w:rsidRPr="00116BDC" w:rsidRDefault="00F12B2B" w:rsidP="00F12B2B">
      <w:pPr>
        <w:pStyle w:val="af"/>
        <w:numPr>
          <w:ilvl w:val="0"/>
          <w:numId w:val="1"/>
        </w:numPr>
        <w:spacing w:line="360" w:lineRule="auto"/>
        <w:ind w:left="567" w:hanging="567"/>
        <w:jc w:val="both"/>
        <w:rPr>
          <w:rFonts w:ascii="David" w:hAnsi="David" w:cs="David"/>
          <w:sz w:val="24"/>
          <w:szCs w:val="24"/>
        </w:rPr>
      </w:pPr>
      <w:r w:rsidRPr="00116BDC">
        <w:rPr>
          <w:rFonts w:ascii="David" w:hAnsi="David" w:cs="David"/>
          <w:sz w:val="24"/>
          <w:szCs w:val="24"/>
          <w:rtl/>
        </w:rPr>
        <w:t xml:space="preserve">דמי המזונות יהיו צמודים למדד המחירים לצרכן, כאשר מדד הבסיס לצורך חישובו הינו המדד הידוע היום, והוא יעודכן אחת לשלושה חודשים ללא תשלום הפרשים בין עדכון למשנהו והסכום לא יהיה קטן מזה שנקבע, גם אם המדד יהיה שלילי.  </w:t>
      </w:r>
    </w:p>
    <w:p w:rsidR="006438B4" w:rsidRPr="00116BDC" w:rsidRDefault="006438B4" w:rsidP="006438B4">
      <w:pPr>
        <w:pStyle w:val="af"/>
        <w:spacing w:line="360" w:lineRule="auto"/>
        <w:ind w:left="567"/>
        <w:jc w:val="both"/>
        <w:rPr>
          <w:rFonts w:ascii="David" w:hAnsi="David" w:cs="David"/>
          <w:sz w:val="24"/>
          <w:szCs w:val="24"/>
          <w:rtl/>
        </w:rPr>
      </w:pPr>
    </w:p>
    <w:p w:rsidR="00402945" w:rsidRPr="00116BDC" w:rsidRDefault="00F12B2B" w:rsidP="00402945">
      <w:pPr>
        <w:pStyle w:val="af"/>
        <w:numPr>
          <w:ilvl w:val="0"/>
          <w:numId w:val="1"/>
        </w:numPr>
        <w:spacing w:line="360" w:lineRule="auto"/>
        <w:ind w:left="567" w:hanging="567"/>
        <w:jc w:val="both"/>
        <w:rPr>
          <w:rFonts w:ascii="David" w:hAnsi="David" w:cs="David"/>
          <w:sz w:val="24"/>
          <w:szCs w:val="24"/>
        </w:rPr>
      </w:pPr>
      <w:r w:rsidRPr="00116BDC">
        <w:rPr>
          <w:rFonts w:ascii="David" w:hAnsi="David" w:cs="David"/>
          <w:sz w:val="24"/>
          <w:szCs w:val="24"/>
          <w:rtl/>
        </w:rPr>
        <w:t xml:space="preserve">דמי המזונות המפורטים לעיל ישולמו לידי האם בנוסף </w:t>
      </w:r>
      <w:r w:rsidR="00797BA2" w:rsidRPr="00116BDC">
        <w:rPr>
          <w:rFonts w:ascii="David" w:hAnsi="David" w:cs="David" w:hint="cs"/>
          <w:sz w:val="24"/>
          <w:szCs w:val="24"/>
          <w:rtl/>
        </w:rPr>
        <w:t>לקצבת</w:t>
      </w:r>
      <w:r w:rsidRPr="00116BDC">
        <w:rPr>
          <w:rFonts w:ascii="David" w:hAnsi="David" w:cs="David"/>
          <w:sz w:val="24"/>
          <w:szCs w:val="24"/>
          <w:rtl/>
        </w:rPr>
        <w:t xml:space="preserve"> הילדים המשולמת לה ע"י המל"ל ו/או בנוסף לכל </w:t>
      </w:r>
      <w:r w:rsidR="00797BA2" w:rsidRPr="00116BDC">
        <w:rPr>
          <w:rFonts w:ascii="David" w:hAnsi="David" w:cs="David" w:hint="cs"/>
          <w:sz w:val="24"/>
          <w:szCs w:val="24"/>
          <w:rtl/>
        </w:rPr>
        <w:t>קצבה</w:t>
      </w:r>
      <w:r w:rsidRPr="00116BDC">
        <w:rPr>
          <w:rFonts w:ascii="David" w:hAnsi="David" w:cs="David"/>
          <w:sz w:val="24"/>
          <w:szCs w:val="24"/>
          <w:rtl/>
        </w:rPr>
        <w:t>, גימלה או הטבה להם היא זכאית, ככל שהיא זכאית על פי כל דין, בשים לב כי בית האם הינו בית המגורים העיקרי של הקטינים נוכח זמני השהות שנקבעו כמפורט לעיל.</w:t>
      </w:r>
    </w:p>
    <w:p w:rsidR="00402945" w:rsidRPr="00116BDC" w:rsidRDefault="00402945" w:rsidP="00402945">
      <w:pPr>
        <w:pStyle w:val="af"/>
        <w:spacing w:line="360" w:lineRule="auto"/>
        <w:ind w:left="567"/>
        <w:jc w:val="both"/>
        <w:rPr>
          <w:rFonts w:ascii="David" w:hAnsi="David" w:cs="David"/>
          <w:sz w:val="24"/>
          <w:szCs w:val="24"/>
        </w:rPr>
      </w:pPr>
    </w:p>
    <w:p w:rsidR="00F12B2B" w:rsidRPr="00116BDC" w:rsidRDefault="00F12B2B" w:rsidP="00F12B2B">
      <w:pPr>
        <w:pStyle w:val="af"/>
        <w:numPr>
          <w:ilvl w:val="0"/>
          <w:numId w:val="1"/>
        </w:numPr>
        <w:spacing w:line="360" w:lineRule="auto"/>
        <w:ind w:left="567" w:hanging="567"/>
        <w:jc w:val="both"/>
        <w:rPr>
          <w:rFonts w:ascii="David" w:hAnsi="David" w:cs="David"/>
          <w:sz w:val="24"/>
          <w:szCs w:val="24"/>
          <w:rtl/>
        </w:rPr>
      </w:pPr>
      <w:r w:rsidRPr="00116BDC">
        <w:rPr>
          <w:rFonts w:ascii="David" w:hAnsi="David" w:cs="David"/>
          <w:sz w:val="24"/>
          <w:szCs w:val="24"/>
          <w:rtl/>
        </w:rPr>
        <w:t>ה</w:t>
      </w:r>
      <w:r w:rsidR="00797BA2" w:rsidRPr="00116BDC">
        <w:rPr>
          <w:rFonts w:ascii="David" w:hAnsi="David" w:cs="David"/>
          <w:sz w:val="24"/>
          <w:szCs w:val="24"/>
          <w:rtl/>
        </w:rPr>
        <w:t>מזונות ישולמו עד לכל</w:t>
      </w:r>
      <w:r w:rsidRPr="00116BDC">
        <w:rPr>
          <w:rFonts w:ascii="David" w:hAnsi="David" w:cs="David"/>
          <w:sz w:val="24"/>
          <w:szCs w:val="24"/>
          <w:rtl/>
        </w:rPr>
        <w:t xml:space="preserve"> 10 בכל חודש עבור מזונות החודש השוטף. </w:t>
      </w:r>
    </w:p>
    <w:p w:rsidR="00402945" w:rsidRPr="00116BDC" w:rsidRDefault="00402945" w:rsidP="00402945">
      <w:pPr>
        <w:pStyle w:val="af"/>
        <w:spacing w:line="360" w:lineRule="auto"/>
        <w:ind w:left="567"/>
        <w:jc w:val="both"/>
        <w:rPr>
          <w:rFonts w:ascii="David" w:hAnsi="David" w:cs="David"/>
          <w:sz w:val="24"/>
          <w:szCs w:val="24"/>
        </w:rPr>
      </w:pPr>
    </w:p>
    <w:p w:rsidR="00F12B2B" w:rsidRPr="00116BDC" w:rsidRDefault="00F12B2B" w:rsidP="00F12B2B">
      <w:pPr>
        <w:pStyle w:val="af"/>
        <w:numPr>
          <w:ilvl w:val="0"/>
          <w:numId w:val="1"/>
        </w:numPr>
        <w:spacing w:line="360" w:lineRule="auto"/>
        <w:ind w:left="567" w:hanging="567"/>
        <w:jc w:val="both"/>
        <w:rPr>
          <w:rFonts w:ascii="David" w:hAnsi="David" w:cs="David"/>
          <w:sz w:val="24"/>
          <w:szCs w:val="24"/>
          <w:rtl/>
        </w:rPr>
      </w:pPr>
      <w:r w:rsidRPr="00116BDC">
        <w:rPr>
          <w:rFonts w:ascii="David" w:hAnsi="David" w:cs="David"/>
          <w:sz w:val="24"/>
          <w:szCs w:val="24"/>
          <w:rtl/>
        </w:rPr>
        <w:t xml:space="preserve">הצדדים יישאו, בחלקים שווים, בגין צרכים רפואיים מיוחדים ו/או הוצאות חריגות בגין בריאות פיסית ונפשית, שאינם כלולים ומכוסים ע"י הביטוח הרפואי וסל הבריאות והמתייחסים לבריאותו הפיסית ו/או הנפשית של הקטינים, כגון: תרופות, משקפיים, עדשות מגע, טיפולי שיניים, טיפולי אורתודנט, טיפול פסיכולוגי ו/או פסיכיאטרי, אבחונים וטיפולים בהפרעות קשב וריכוז, ואם יהיו כאלה, עד הגיעם של הקטינים לגיל 18 או עד גיוסם לצה"ל/שירות לאומי, במידה ויתגייסו, לפי המאוחר מבניהם. </w:t>
      </w:r>
    </w:p>
    <w:p w:rsidR="00797BA2" w:rsidRPr="00116BDC" w:rsidRDefault="00797BA2" w:rsidP="00F12B2B">
      <w:pPr>
        <w:pStyle w:val="af"/>
        <w:spacing w:line="360" w:lineRule="auto"/>
        <w:ind w:left="567"/>
        <w:jc w:val="both"/>
        <w:rPr>
          <w:rFonts w:ascii="David" w:hAnsi="David" w:cs="David"/>
          <w:b/>
          <w:sz w:val="24"/>
          <w:szCs w:val="24"/>
          <w:rtl/>
        </w:rPr>
      </w:pPr>
    </w:p>
    <w:p w:rsidR="00F12B2B" w:rsidRPr="00116BDC" w:rsidRDefault="00F12B2B" w:rsidP="00F12B2B">
      <w:pPr>
        <w:pStyle w:val="af"/>
        <w:spacing w:line="360" w:lineRule="auto"/>
        <w:ind w:left="567"/>
        <w:jc w:val="both"/>
        <w:rPr>
          <w:rFonts w:ascii="David" w:hAnsi="David" w:cs="David"/>
          <w:b/>
          <w:sz w:val="24"/>
          <w:szCs w:val="24"/>
          <w:rtl/>
        </w:rPr>
      </w:pPr>
      <w:r w:rsidRPr="00116BDC">
        <w:rPr>
          <w:rFonts w:ascii="David" w:hAnsi="David" w:cs="David"/>
          <w:b/>
          <w:sz w:val="24"/>
          <w:szCs w:val="24"/>
          <w:rtl/>
        </w:rPr>
        <w:t xml:space="preserve">הצדדים יידעו האחד את השני 14 יום מראש לפחות על כל הוצאה רפואית צפויה שעלותה גבוהה מ- 100 ₪, על מנת לאפשר לצד השני לבחון נחיצותה ולהציע חלופות זולות יותר, למעט במצב חירום שאינו בר דיחוי. </w:t>
      </w:r>
    </w:p>
    <w:p w:rsidR="00797BA2" w:rsidRPr="00116BDC" w:rsidRDefault="00797BA2" w:rsidP="00F12B2B">
      <w:pPr>
        <w:pStyle w:val="af"/>
        <w:spacing w:line="360" w:lineRule="auto"/>
        <w:ind w:left="567"/>
        <w:jc w:val="both"/>
        <w:rPr>
          <w:rFonts w:ascii="David" w:hAnsi="David" w:cs="David"/>
          <w:b/>
          <w:sz w:val="24"/>
          <w:szCs w:val="24"/>
          <w:rtl/>
        </w:rPr>
      </w:pPr>
    </w:p>
    <w:p w:rsidR="00F12B2B" w:rsidRPr="00116BDC" w:rsidRDefault="00F12B2B" w:rsidP="00F12B2B">
      <w:pPr>
        <w:pStyle w:val="af"/>
        <w:spacing w:line="360" w:lineRule="auto"/>
        <w:ind w:left="567"/>
        <w:jc w:val="both"/>
        <w:rPr>
          <w:rFonts w:ascii="David" w:hAnsi="David" w:cs="David"/>
          <w:b/>
          <w:sz w:val="24"/>
          <w:szCs w:val="24"/>
          <w:rtl/>
        </w:rPr>
      </w:pPr>
      <w:r w:rsidRPr="00116BDC">
        <w:rPr>
          <w:rFonts w:ascii="David" w:hAnsi="David" w:cs="David"/>
          <w:b/>
          <w:sz w:val="24"/>
          <w:szCs w:val="24"/>
          <w:rtl/>
        </w:rPr>
        <w:t xml:space="preserve">בכל מחלוקת בין הצדדים בקשר להוצאה רפואית חריגה, נחיצותה והיקפה, הם יפעלו בהתאם להמלצות רופא המשפחה או הרופא המטפל, לפי העניין. </w:t>
      </w:r>
    </w:p>
    <w:p w:rsidR="00797BA2" w:rsidRPr="00116BDC" w:rsidRDefault="00797BA2" w:rsidP="00797BA2">
      <w:pPr>
        <w:pStyle w:val="af"/>
        <w:spacing w:line="360" w:lineRule="auto"/>
        <w:ind w:left="567"/>
        <w:jc w:val="both"/>
        <w:rPr>
          <w:rFonts w:ascii="David" w:hAnsi="David" w:cs="David"/>
          <w:b/>
          <w:sz w:val="24"/>
          <w:szCs w:val="24"/>
        </w:rPr>
      </w:pPr>
    </w:p>
    <w:p w:rsidR="00F12B2B" w:rsidRPr="00116BDC" w:rsidRDefault="00F12B2B" w:rsidP="00F12B2B">
      <w:pPr>
        <w:pStyle w:val="af"/>
        <w:numPr>
          <w:ilvl w:val="0"/>
          <w:numId w:val="1"/>
        </w:numPr>
        <w:spacing w:line="360" w:lineRule="auto"/>
        <w:ind w:left="567" w:hanging="567"/>
        <w:jc w:val="both"/>
        <w:rPr>
          <w:rFonts w:ascii="David" w:hAnsi="David" w:cs="David"/>
          <w:b/>
          <w:sz w:val="24"/>
          <w:szCs w:val="24"/>
          <w:rtl/>
        </w:rPr>
      </w:pPr>
      <w:r w:rsidRPr="00116BDC">
        <w:rPr>
          <w:rFonts w:ascii="David" w:hAnsi="David" w:cs="David"/>
          <w:b/>
          <w:sz w:val="24"/>
          <w:szCs w:val="24"/>
          <w:rtl/>
        </w:rPr>
        <w:t xml:space="preserve">הצדדים יישאו, בחלקים שווים, בהוצאות החינוך של הקטינים בתחילת כל שנת לימודים, לרבות אגרות חינוך, תשלומי בית ספר, דמי שכלול, השתתפות בטיולים או פעילויות מטעם בית הספר וכל תשלום אחר הנדרש לתשלום ישירות למערכת החינוכית ו/או למסגרת החינוכית לרבות ועד הורים וכן צהרון (ציבורי) עד סיום כיתה ג', חוגים, שיעורי עזר (על פי המלצת הגורם הרלוונטי) ותנועת נוער, בקיזוז ההטבה שתקבל האם מהמל"ל ו/או מהצד השלישי. האם תמצה זכויותיה לקבלת הטבות/הנחות, ככל שישנן. </w:t>
      </w:r>
    </w:p>
    <w:p w:rsidR="00F12B2B" w:rsidRPr="00116BDC" w:rsidRDefault="00F12B2B" w:rsidP="00F12B2B">
      <w:pPr>
        <w:pStyle w:val="af"/>
        <w:numPr>
          <w:ilvl w:val="0"/>
          <w:numId w:val="1"/>
        </w:numPr>
        <w:spacing w:line="360" w:lineRule="auto"/>
        <w:ind w:left="567" w:hanging="567"/>
        <w:jc w:val="both"/>
        <w:rPr>
          <w:rFonts w:ascii="David" w:hAnsi="David" w:cs="David"/>
          <w:b/>
          <w:sz w:val="24"/>
          <w:szCs w:val="24"/>
        </w:rPr>
      </w:pPr>
      <w:r w:rsidRPr="00116BDC">
        <w:rPr>
          <w:rFonts w:ascii="David" w:hAnsi="David" w:cs="David"/>
          <w:b/>
          <w:sz w:val="24"/>
          <w:szCs w:val="24"/>
          <w:rtl/>
        </w:rPr>
        <w:lastRenderedPageBreak/>
        <w:t>הצדדים יישאו, בחלקים שווים, בעלות של מחזור קייטנה אחת בחופשת הקיץ וכן קייטנה אחת בפסח או סוכות וזאת בכפוף להמצאת קבלה ו/או חשבונית. טרם רישום לקייטנה, על הצדדים להסכים לעלותה של הקייטנה ובהעדר הסכמה התשלום</w:t>
      </w:r>
      <w:r w:rsidR="00116BDC" w:rsidRPr="00116BDC">
        <w:rPr>
          <w:rFonts w:ascii="David" w:hAnsi="David" w:cs="David"/>
          <w:b/>
          <w:sz w:val="24"/>
          <w:szCs w:val="24"/>
          <w:rtl/>
        </w:rPr>
        <w:t xml:space="preserve"> יהא בהתאם לעלות קייטנה עירונית</w:t>
      </w:r>
      <w:r w:rsidRPr="00116BDC">
        <w:rPr>
          <w:rFonts w:ascii="David" w:hAnsi="David" w:cs="David"/>
          <w:b/>
          <w:sz w:val="24"/>
          <w:szCs w:val="24"/>
          <w:rtl/>
        </w:rPr>
        <w:t xml:space="preserve">/ מתנ"ס. </w:t>
      </w:r>
    </w:p>
    <w:p w:rsidR="00797BA2" w:rsidRPr="00116BDC" w:rsidRDefault="00797BA2" w:rsidP="00797BA2">
      <w:pPr>
        <w:pStyle w:val="af"/>
        <w:spacing w:line="360" w:lineRule="auto"/>
        <w:ind w:left="567"/>
        <w:jc w:val="both"/>
        <w:rPr>
          <w:rFonts w:ascii="David" w:hAnsi="David" w:cs="David"/>
          <w:b/>
          <w:sz w:val="24"/>
          <w:szCs w:val="24"/>
        </w:rPr>
      </w:pPr>
    </w:p>
    <w:p w:rsidR="00F12B2B" w:rsidRPr="00116BDC" w:rsidRDefault="00797BA2" w:rsidP="00797BA2">
      <w:pPr>
        <w:pStyle w:val="af"/>
        <w:numPr>
          <w:ilvl w:val="0"/>
          <w:numId w:val="1"/>
        </w:numPr>
        <w:spacing w:line="360" w:lineRule="auto"/>
        <w:ind w:left="567" w:hanging="567"/>
        <w:jc w:val="both"/>
        <w:rPr>
          <w:rFonts w:ascii="David" w:hAnsi="David" w:cs="David"/>
          <w:b/>
          <w:sz w:val="24"/>
          <w:szCs w:val="24"/>
        </w:rPr>
      </w:pPr>
      <w:r w:rsidRPr="00116BDC">
        <w:rPr>
          <w:rFonts w:ascii="David" w:hAnsi="David" w:cs="David" w:hint="cs"/>
          <w:b/>
          <w:sz w:val="24"/>
          <w:szCs w:val="24"/>
          <w:rtl/>
        </w:rPr>
        <w:t xml:space="preserve">בנוסף, </w:t>
      </w:r>
      <w:r w:rsidR="00F12B2B" w:rsidRPr="00116BDC">
        <w:rPr>
          <w:rFonts w:ascii="David" w:hAnsi="David" w:cs="David"/>
          <w:b/>
          <w:sz w:val="24"/>
          <w:szCs w:val="24"/>
          <w:rtl/>
        </w:rPr>
        <w:t>יישאו הצדדים, בחלקים שווים, בתשלום עבור חוג אחד לכל קטין וזאת בכפוף להמצאת קבלה ו/או חשבונית. טרם רישום לחוג, על הצדדים להסכים לעלות החוג ובהעדר הסכמה, התשלום יהא בהתאם לעלות מתנ"ס.</w:t>
      </w:r>
    </w:p>
    <w:p w:rsidR="00797BA2" w:rsidRPr="00116BDC" w:rsidRDefault="00797BA2" w:rsidP="00797BA2">
      <w:pPr>
        <w:pStyle w:val="af"/>
        <w:spacing w:line="360" w:lineRule="auto"/>
        <w:ind w:left="567"/>
        <w:jc w:val="both"/>
        <w:rPr>
          <w:rFonts w:ascii="David" w:hAnsi="David" w:cs="David"/>
          <w:b/>
          <w:sz w:val="24"/>
          <w:szCs w:val="24"/>
        </w:rPr>
      </w:pPr>
    </w:p>
    <w:p w:rsidR="00F12B2B" w:rsidRPr="00116BDC" w:rsidRDefault="00F12B2B" w:rsidP="00F12B2B">
      <w:pPr>
        <w:pStyle w:val="af"/>
        <w:numPr>
          <w:ilvl w:val="0"/>
          <w:numId w:val="1"/>
        </w:numPr>
        <w:spacing w:line="360" w:lineRule="auto"/>
        <w:ind w:left="567" w:hanging="567"/>
        <w:jc w:val="both"/>
        <w:rPr>
          <w:rFonts w:ascii="David" w:hAnsi="David" w:cs="David"/>
          <w:b/>
          <w:sz w:val="24"/>
          <w:szCs w:val="24"/>
          <w:rtl/>
        </w:rPr>
      </w:pPr>
      <w:r w:rsidRPr="00116BDC">
        <w:rPr>
          <w:rFonts w:ascii="David" w:hAnsi="David" w:cs="David"/>
          <w:b/>
          <w:sz w:val="24"/>
          <w:szCs w:val="24"/>
          <w:rtl/>
        </w:rPr>
        <w:t>כל אחד מן הצדדים י</w:t>
      </w:r>
      <w:r w:rsidR="00797BA2" w:rsidRPr="00116BDC">
        <w:rPr>
          <w:rFonts w:ascii="David" w:hAnsi="David" w:cs="David" w:hint="cs"/>
          <w:b/>
          <w:sz w:val="24"/>
          <w:szCs w:val="24"/>
          <w:rtl/>
        </w:rPr>
        <w:t>י</w:t>
      </w:r>
      <w:r w:rsidRPr="00116BDC">
        <w:rPr>
          <w:rFonts w:ascii="David" w:hAnsi="David" w:cs="David"/>
          <w:b/>
          <w:sz w:val="24"/>
          <w:szCs w:val="24"/>
          <w:rtl/>
        </w:rPr>
        <w:t xml:space="preserve">שא בחלקו (מחצית) מן ההוצאות המנויות כאמור לעיל במישרין לגוף או לגורם באמצעותו ניתן השירות. הורה אשר יישר בסכום העולה על שיעור חלקו בגין ההוצאות המפורטות לעיל ("ההורה המשלם") יקבל מההורה השני ("ההורה החייב") את חלקו בהתאם לאמור לעיל, וזאת בתוך 10 ימים מיום שההורה המשלם שלח להורה החייב דרישה בצירוף </w:t>
      </w:r>
      <w:r w:rsidR="00797BA2" w:rsidRPr="00116BDC">
        <w:rPr>
          <w:rFonts w:ascii="David" w:hAnsi="David" w:cs="David" w:hint="cs"/>
          <w:b/>
          <w:sz w:val="24"/>
          <w:szCs w:val="24"/>
          <w:rtl/>
        </w:rPr>
        <w:t>אסמכתה</w:t>
      </w:r>
      <w:r w:rsidRPr="00116BDC">
        <w:rPr>
          <w:rFonts w:ascii="David" w:hAnsi="David" w:cs="David"/>
          <w:b/>
          <w:sz w:val="24"/>
          <w:szCs w:val="24"/>
          <w:rtl/>
        </w:rPr>
        <w:t xml:space="preserve"> הרלוונטית על התשלום הנדרש, ובתנאי שהמשלוח ייעשה לא יאוחר מחצי שנה לאחר ההוצאה.</w:t>
      </w:r>
    </w:p>
    <w:p w:rsidR="00797BA2" w:rsidRPr="00116BDC" w:rsidRDefault="00797BA2" w:rsidP="00797BA2">
      <w:pPr>
        <w:pStyle w:val="af"/>
        <w:spacing w:line="360" w:lineRule="auto"/>
        <w:ind w:left="567"/>
        <w:jc w:val="both"/>
        <w:rPr>
          <w:rFonts w:ascii="David" w:hAnsi="David" w:cs="David"/>
          <w:b/>
          <w:sz w:val="24"/>
          <w:szCs w:val="24"/>
        </w:rPr>
      </w:pPr>
    </w:p>
    <w:p w:rsidR="00F12B2B" w:rsidRPr="00116BDC" w:rsidRDefault="00F12B2B" w:rsidP="00F12B2B">
      <w:pPr>
        <w:pStyle w:val="af"/>
        <w:numPr>
          <w:ilvl w:val="0"/>
          <w:numId w:val="1"/>
        </w:numPr>
        <w:spacing w:line="360" w:lineRule="auto"/>
        <w:ind w:left="567" w:hanging="567"/>
        <w:jc w:val="both"/>
        <w:rPr>
          <w:rFonts w:ascii="David" w:hAnsi="David" w:cs="David"/>
          <w:b/>
          <w:sz w:val="24"/>
          <w:szCs w:val="24"/>
        </w:rPr>
      </w:pPr>
      <w:r w:rsidRPr="00116BDC">
        <w:rPr>
          <w:rFonts w:ascii="David" w:hAnsi="David" w:cs="David"/>
          <w:b/>
          <w:sz w:val="24"/>
          <w:szCs w:val="24"/>
          <w:rtl/>
        </w:rPr>
        <w:t xml:space="preserve">למען הסר הספק, מובהר כי דין כל ההוצאות הרפואיות החריגות, הוצאות החינוך, הקייטנות והחוגים כדין מזונות לכל דבר ועניין, לרבות בנוגע לגבייתן. </w:t>
      </w:r>
    </w:p>
    <w:p w:rsidR="00797BA2" w:rsidRPr="00116BDC" w:rsidRDefault="00797BA2" w:rsidP="00797BA2">
      <w:pPr>
        <w:pStyle w:val="af"/>
        <w:spacing w:line="360" w:lineRule="auto"/>
        <w:ind w:left="567"/>
        <w:jc w:val="both"/>
        <w:rPr>
          <w:rFonts w:ascii="David" w:hAnsi="David" w:cs="David"/>
          <w:b/>
          <w:sz w:val="24"/>
          <w:szCs w:val="24"/>
        </w:rPr>
      </w:pPr>
    </w:p>
    <w:p w:rsidR="00F12B2B" w:rsidRPr="00116BDC" w:rsidRDefault="00F12B2B" w:rsidP="00E731CA">
      <w:pPr>
        <w:pStyle w:val="af"/>
        <w:numPr>
          <w:ilvl w:val="0"/>
          <w:numId w:val="1"/>
        </w:numPr>
        <w:spacing w:line="360" w:lineRule="auto"/>
        <w:ind w:left="567" w:hanging="567"/>
        <w:jc w:val="both"/>
        <w:rPr>
          <w:rFonts w:ascii="David" w:hAnsi="David" w:cs="David"/>
          <w:b/>
          <w:sz w:val="24"/>
          <w:szCs w:val="24"/>
        </w:rPr>
      </w:pPr>
      <w:r w:rsidRPr="00116BDC">
        <w:rPr>
          <w:rFonts w:ascii="David" w:hAnsi="David" w:cs="David"/>
          <w:b/>
          <w:sz w:val="24"/>
          <w:szCs w:val="24"/>
          <w:rtl/>
        </w:rPr>
        <w:t xml:space="preserve">בשים לב כי הקטין </w:t>
      </w:r>
      <w:r w:rsidR="00731B20">
        <w:rPr>
          <w:rFonts w:ascii="David" w:hAnsi="David" w:cs="David" w:hint="cs"/>
          <w:b/>
          <w:sz w:val="24"/>
          <w:szCs w:val="24"/>
          <w:rtl/>
        </w:rPr>
        <w:t>נ</w:t>
      </w:r>
      <w:r w:rsidR="00731B20">
        <w:rPr>
          <w:rFonts w:ascii="David" w:hAnsi="David" w:cs="David"/>
          <w:b/>
          <w:sz w:val="24"/>
          <w:szCs w:val="24"/>
          <w:rtl/>
        </w:rPr>
        <w:t>'</w:t>
      </w:r>
      <w:r w:rsidRPr="00116BDC">
        <w:rPr>
          <w:rFonts w:ascii="David" w:hAnsi="David" w:cs="David"/>
          <w:b/>
          <w:sz w:val="24"/>
          <w:szCs w:val="24"/>
          <w:rtl/>
        </w:rPr>
        <w:t xml:space="preserve"> חצה את גיל 6 בסמוך ל</w:t>
      </w:r>
      <w:r w:rsidR="00797BA2" w:rsidRPr="00116BDC">
        <w:rPr>
          <w:rFonts w:ascii="David" w:hAnsi="David" w:cs="David" w:hint="cs"/>
          <w:b/>
          <w:sz w:val="24"/>
          <w:szCs w:val="24"/>
          <w:rtl/>
        </w:rPr>
        <w:t xml:space="preserve">מועד </w:t>
      </w:r>
      <w:r w:rsidRPr="00116BDC">
        <w:rPr>
          <w:rFonts w:ascii="David" w:hAnsi="David" w:cs="David"/>
          <w:b/>
          <w:sz w:val="24"/>
          <w:szCs w:val="24"/>
          <w:rtl/>
        </w:rPr>
        <w:t>מתן פסק הדין ולאור ההלכה לפיה אין להשיב מזונות שנאכלו ובראי טובת הקטינים, מצאתי לקבוע כי חיוב האב בדמי המזונות שנקבעו במסגרת פסק דין זה הוא מהיום בו ניתן, ועד אז תחול ההחלטה למזונות זמניים.</w:t>
      </w:r>
    </w:p>
    <w:p w:rsidR="00797BA2" w:rsidRPr="00116BDC" w:rsidRDefault="00797BA2" w:rsidP="00797BA2">
      <w:pPr>
        <w:pStyle w:val="af"/>
        <w:tabs>
          <w:tab w:val="left" w:pos="567"/>
        </w:tabs>
        <w:spacing w:after="0" w:line="360" w:lineRule="auto"/>
        <w:ind w:left="567"/>
        <w:jc w:val="both"/>
        <w:rPr>
          <w:rFonts w:ascii="David" w:hAnsi="David" w:cs="David"/>
          <w:b/>
          <w:bCs/>
          <w:sz w:val="24"/>
          <w:szCs w:val="24"/>
        </w:rPr>
      </w:pPr>
    </w:p>
    <w:p w:rsidR="00F12B2B" w:rsidRPr="00116BDC" w:rsidRDefault="00F12B2B" w:rsidP="00F12B2B">
      <w:pPr>
        <w:pStyle w:val="af"/>
        <w:numPr>
          <w:ilvl w:val="0"/>
          <w:numId w:val="1"/>
        </w:numPr>
        <w:tabs>
          <w:tab w:val="left" w:pos="567"/>
        </w:tabs>
        <w:spacing w:after="0" w:line="360" w:lineRule="auto"/>
        <w:ind w:left="567" w:hanging="567"/>
        <w:jc w:val="both"/>
        <w:rPr>
          <w:rFonts w:ascii="David" w:hAnsi="David" w:cs="David"/>
          <w:b/>
          <w:bCs/>
          <w:sz w:val="24"/>
          <w:szCs w:val="24"/>
          <w:rtl/>
        </w:rPr>
      </w:pPr>
      <w:r w:rsidRPr="00116BDC">
        <w:rPr>
          <w:rFonts w:ascii="David" w:hAnsi="David" w:cs="David"/>
          <w:sz w:val="24"/>
          <w:szCs w:val="24"/>
          <w:rtl/>
        </w:rPr>
        <w:t>לאור התוצאה אליה הגעתי, סבורני כי אין מקום ליתן צו להוצאות, וכל צד יישא בהוצאותיו.</w:t>
      </w:r>
    </w:p>
    <w:p w:rsidR="00F12B2B" w:rsidRPr="00116BDC" w:rsidRDefault="00F12B2B" w:rsidP="00F12B2B">
      <w:pPr>
        <w:pStyle w:val="af"/>
        <w:tabs>
          <w:tab w:val="left" w:pos="567"/>
        </w:tabs>
        <w:spacing w:after="0" w:line="360" w:lineRule="auto"/>
        <w:ind w:left="567"/>
        <w:jc w:val="both"/>
        <w:rPr>
          <w:rFonts w:ascii="David" w:hAnsi="David" w:cs="David"/>
          <w:b/>
          <w:bCs/>
          <w:sz w:val="24"/>
          <w:szCs w:val="24"/>
        </w:rPr>
      </w:pPr>
    </w:p>
    <w:p w:rsidR="00F12B2B" w:rsidRPr="00116BDC" w:rsidRDefault="00F12B2B" w:rsidP="00F12B2B">
      <w:pPr>
        <w:pStyle w:val="af"/>
        <w:numPr>
          <w:ilvl w:val="0"/>
          <w:numId w:val="1"/>
        </w:numPr>
        <w:tabs>
          <w:tab w:val="left" w:pos="567"/>
        </w:tabs>
        <w:spacing w:after="0" w:line="360" w:lineRule="auto"/>
        <w:ind w:left="567" w:hanging="567"/>
        <w:jc w:val="both"/>
        <w:rPr>
          <w:rFonts w:ascii="David" w:hAnsi="David" w:cs="David"/>
          <w:b/>
          <w:bCs/>
          <w:sz w:val="24"/>
          <w:szCs w:val="24"/>
        </w:rPr>
      </w:pPr>
      <w:r w:rsidRPr="00116BDC">
        <w:rPr>
          <w:rFonts w:ascii="David" w:hAnsi="David" w:cs="David"/>
          <w:sz w:val="24"/>
          <w:szCs w:val="24"/>
          <w:rtl/>
        </w:rPr>
        <w:t>המזכירות תמציא פסק הדין לבאי כוח הצדדים.</w:t>
      </w:r>
    </w:p>
    <w:p w:rsidR="00F12B2B" w:rsidRPr="00116BDC" w:rsidRDefault="00F12B2B" w:rsidP="00F12B2B">
      <w:pPr>
        <w:pStyle w:val="af"/>
        <w:rPr>
          <w:rFonts w:ascii="David" w:hAnsi="David" w:cs="David"/>
          <w:sz w:val="24"/>
          <w:szCs w:val="24"/>
        </w:rPr>
      </w:pPr>
    </w:p>
    <w:p w:rsidR="00F12B2B" w:rsidRPr="00116BDC" w:rsidRDefault="00F12B2B" w:rsidP="00797BA2">
      <w:pPr>
        <w:pStyle w:val="af"/>
        <w:numPr>
          <w:ilvl w:val="0"/>
          <w:numId w:val="1"/>
        </w:numPr>
        <w:tabs>
          <w:tab w:val="left" w:pos="567"/>
        </w:tabs>
        <w:spacing w:after="0" w:line="360" w:lineRule="auto"/>
        <w:ind w:left="567" w:hanging="567"/>
        <w:jc w:val="both"/>
        <w:rPr>
          <w:rFonts w:ascii="David" w:hAnsi="David" w:cs="David"/>
          <w:b/>
          <w:bCs/>
          <w:sz w:val="24"/>
          <w:szCs w:val="24"/>
          <w:rtl/>
        </w:rPr>
      </w:pPr>
      <w:r w:rsidRPr="00116BDC">
        <w:rPr>
          <w:rFonts w:ascii="David" w:hAnsi="David" w:cs="David"/>
          <w:sz w:val="24"/>
          <w:szCs w:val="24"/>
          <w:rtl/>
        </w:rPr>
        <w:t xml:space="preserve">משנסתיים בירור התובענה מושא ההליך שבכותרת, </w:t>
      </w:r>
      <w:r w:rsidR="00797BA2" w:rsidRPr="00116BDC">
        <w:rPr>
          <w:rFonts w:ascii="David" w:hAnsi="David" w:cs="David" w:hint="cs"/>
          <w:sz w:val="24"/>
          <w:szCs w:val="24"/>
          <w:rtl/>
        </w:rPr>
        <w:t>המזכירות תס</w:t>
      </w:r>
      <w:r w:rsidRPr="00116BDC">
        <w:rPr>
          <w:rFonts w:ascii="David" w:hAnsi="David" w:cs="David"/>
          <w:sz w:val="24"/>
          <w:szCs w:val="24"/>
          <w:rtl/>
        </w:rPr>
        <w:t xml:space="preserve">גור התיק. </w:t>
      </w:r>
    </w:p>
    <w:p w:rsidR="00694556" w:rsidRPr="00116BDC" w:rsidRDefault="00694556">
      <w:pPr>
        <w:spacing w:line="360" w:lineRule="auto"/>
        <w:jc w:val="both"/>
        <w:rPr>
          <w:rFonts w:ascii="Arial" w:hAnsi="Arial"/>
          <w:noProof w:val="0"/>
          <w:rtl/>
        </w:rPr>
      </w:pPr>
    </w:p>
    <w:p w:rsidR="00694556" w:rsidRPr="00116BDC" w:rsidRDefault="00005C8B">
      <w:pPr>
        <w:spacing w:line="360" w:lineRule="auto"/>
        <w:jc w:val="both"/>
        <w:rPr>
          <w:rFonts w:ascii="Arial" w:hAnsi="Arial"/>
          <w:noProof w:val="0"/>
          <w:rtl/>
        </w:rPr>
      </w:pPr>
      <w:r w:rsidRPr="00116BDC">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ט"ו אדר ב' תשפ"ד</w:t>
          </w:r>
        </w:sdtContent>
      </w:sdt>
      <w:r w:rsidRPr="00116BDC">
        <w:rPr>
          <w:rFonts w:ascii="Arial" w:hAnsi="Arial"/>
          <w:noProof w:val="0"/>
          <w:rtl/>
        </w:rPr>
        <w:t xml:space="preserve">, </w:t>
      </w:r>
      <w:sdt>
        <w:sdtPr>
          <w:rPr>
            <w:rtl/>
          </w:rPr>
          <w:alias w:val="1456"/>
          <w:tag w:val="1456"/>
          <w:id w:val="-1101635932"/>
          <w:text w:multiLine="1"/>
        </w:sdtPr>
        <w:sdtEndPr/>
        <w:sdtContent>
          <w:r>
            <w:rPr>
              <w:rFonts w:ascii="Arial" w:hAnsi="Arial"/>
              <w:noProof w:val="0"/>
              <w:rtl/>
            </w:rPr>
            <w:t>25 מרץ 2024</w:t>
          </w:r>
        </w:sdtContent>
      </w:sdt>
      <w:r w:rsidRPr="00116BDC">
        <w:rPr>
          <w:rFonts w:ascii="Arial" w:hAnsi="Arial"/>
          <w:noProof w:val="0"/>
          <w:rtl/>
        </w:rPr>
        <w:t>, בהעדר הצדדים.</w:t>
      </w:r>
    </w:p>
    <w:p w:rsidR="005B0F49" w:rsidRPr="00116BDC" w:rsidRDefault="005B0F49" w:rsidP="00633C4F">
      <w:pPr>
        <w:spacing w:line="360" w:lineRule="auto"/>
        <w:jc w:val="both"/>
        <w:rPr>
          <w:rFonts w:ascii="Arial" w:hAnsi="Arial"/>
          <w:noProof w:val="0"/>
          <w:rtl/>
        </w:rPr>
      </w:pPr>
      <w:r w:rsidRPr="00116BDC">
        <w:rPr>
          <w:rFonts w:ascii="Arial" w:hAnsi="Arial" w:hint="cs"/>
          <w:noProof w:val="0"/>
          <w:rtl/>
        </w:rPr>
        <w:tab/>
      </w:r>
      <w:r w:rsidRPr="00116BDC">
        <w:rPr>
          <w:rFonts w:ascii="Arial" w:hAnsi="Arial" w:hint="cs"/>
          <w:noProof w:val="0"/>
          <w:rtl/>
        </w:rPr>
        <w:tab/>
      </w:r>
      <w:r w:rsidRPr="00116BDC">
        <w:rPr>
          <w:rFonts w:ascii="Arial" w:hAnsi="Arial" w:hint="cs"/>
          <w:noProof w:val="0"/>
          <w:rtl/>
        </w:rPr>
        <w:tab/>
      </w:r>
      <w:r w:rsidRPr="00116BDC">
        <w:rPr>
          <w:rFonts w:ascii="Arial" w:hAnsi="Arial" w:hint="cs"/>
          <w:noProof w:val="0"/>
          <w:rtl/>
        </w:rPr>
        <w:tab/>
      </w:r>
      <w:r w:rsidRPr="00116BDC">
        <w:rPr>
          <w:rFonts w:ascii="Arial" w:hAnsi="Arial" w:hint="cs"/>
          <w:noProof w:val="0"/>
          <w:rtl/>
        </w:rPr>
        <w:tab/>
      </w:r>
      <w:r w:rsidR="00633C4F" w:rsidRPr="00116BDC">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sidRPr="00116BDC">
        <w:rPr>
          <w:rFonts w:ascii="Arial" w:hAnsi="Arial" w:hint="cs"/>
          <w:noProof w:val="0"/>
          <w:rtl/>
        </w:rPr>
        <w:tab/>
      </w:r>
      <w:r w:rsidRPr="00116BDC">
        <w:rPr>
          <w:rFonts w:ascii="Arial" w:hAnsi="Arial" w:hint="cs"/>
          <w:noProof w:val="0"/>
          <w:rtl/>
        </w:rPr>
        <w:tab/>
      </w:r>
      <w:r w:rsidR="00633C4F" w:rsidRPr="00116BDC">
        <w:rPr>
          <w:rFonts w:ascii="Arial" w:hAnsi="Arial"/>
          <w:noProof w:val="0"/>
          <w:rtl/>
        </w:rPr>
        <w:t xml:space="preserve"> </w:t>
      </w:r>
    </w:p>
    <w:p w:rsidR="00694556" w:rsidRPr="00116BDC" w:rsidRDefault="00206E45" w:rsidP="00E731CA">
      <w:pPr>
        <w:spacing w:line="360" w:lineRule="auto"/>
        <w:ind w:left="3600" w:firstLine="720"/>
      </w:pPr>
      <w:sdt>
        <w:sdtPr>
          <w:rPr>
            <w:rtl/>
          </w:rPr>
          <w:alias w:val="MergeField"/>
          <w:tag w:val="1237"/>
          <w:id w:val="362329273"/>
        </w:sdtPr>
        <w:sdtEndPr/>
        <w:sdtContent>
          <w:r w:rsidR="00E731CA">
            <w:drawing>
              <wp:inline distT="0" distB="0" distL="0" distR="0" wp14:editId="50D07946">
                <wp:extent cx="1171575" cy="92392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21" cstate="print">
                          <a:extLst/>
                        </a:blip>
                        <a:stretch>
                          <a:fillRect/>
                        </a:stretch>
                      </pic:blipFill>
                      <pic:spPr>
                        <a:xfrm>
                          <a:off x="0" y="0"/>
                          <a:ext cx="1171575" cy="923924"/>
                        </a:xfrm>
                        <a:prstGeom prst="rect">
                          <a:avLst/>
                        </a:prstGeom>
                      </pic:spPr>
                    </pic:pic>
                  </a:graphicData>
                </a:graphic>
              </wp:inline>
            </w:drawing>
          </w:r>
        </w:sdtContent>
      </w:sdt>
    </w:p>
    <w:sectPr w:rsidR="00694556" w:rsidRPr="00116BDC" w:rsidSect="00903896">
      <w:headerReference w:type="default" r:id="rId22"/>
      <w:footerReference w:type="default" r:id="rId23"/>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6E45" w:rsidRDefault="00206E45">
      <w:r>
        <w:separator/>
      </w:r>
    </w:p>
  </w:endnote>
  <w:endnote w:type="continuationSeparator" w:id="0">
    <w:p w:rsidR="00206E45" w:rsidRDefault="00206E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Arial (W1)">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5135F8">
      <w:rPr>
        <w:rStyle w:val="ab"/>
        <w:rFonts w:cs="Times New Roman"/>
        <w:rtl/>
      </w:rPr>
      <w:t>21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5135F8">
      <w:rPr>
        <w:rStyle w:val="ab"/>
        <w:rtl/>
      </w:rPr>
      <w:t>21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6E45" w:rsidRDefault="00206E45">
      <w:r>
        <w:separator/>
      </w:r>
    </w:p>
  </w:footnote>
  <w:footnote w:type="continuationSeparator" w:id="0">
    <w:p w:rsidR="00206E45" w:rsidRDefault="00206E45">
      <w:r>
        <w:continuationSeparator/>
      </w:r>
    </w:p>
  </w:footnote>
  <w:footnote w:id="1">
    <w:p w:rsidR="00F12B2B" w:rsidRDefault="00F12B2B" w:rsidP="00F12B2B">
      <w:pPr>
        <w:pStyle w:val="ad"/>
      </w:pPr>
      <w:r>
        <w:rPr>
          <w:rStyle w:val="af0"/>
        </w:rPr>
        <w:footnoteRef/>
      </w:r>
      <w:r>
        <w:rPr>
          <w:rtl/>
        </w:rPr>
        <w:t xml:space="preserve"> </w:t>
      </w:r>
      <w:r>
        <w:rPr>
          <w:rFonts w:ascii="David" w:hAnsi="David" w:cs="David"/>
          <w:rtl/>
        </w:rPr>
        <w:t>14,200-4,500=9,700</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בבאר שבע</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957C90" w:rsidRPr="00957C90" w:rsidRDefault="00206E45" w:rsidP="00E731CA">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תלה"מ</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FB3C14">
                <w:rPr>
                  <w:b/>
                  <w:bCs/>
                  <w:noProof w:val="0"/>
                  <w:sz w:val="26"/>
                  <w:szCs w:val="26"/>
                  <w:rtl/>
                </w:rPr>
                <w:t>5104-03-21</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E731CA">
                <w:rPr>
                  <w:rFonts w:hint="cs"/>
                  <w:b/>
                  <w:bCs/>
                  <w:noProof w:val="0"/>
                  <w:sz w:val="26"/>
                  <w:szCs w:val="26"/>
                  <w:rtl/>
                </w:rPr>
                <w:t>פלונית</w:t>
              </w:r>
              <w:r w:rsidR="00FB3C14">
                <w:rPr>
                  <w:b/>
                  <w:bCs/>
                  <w:noProof w:val="0"/>
                  <w:sz w:val="26"/>
                  <w:szCs w:val="26"/>
                  <w:rtl/>
                </w:rPr>
                <w:t xml:space="preserve"> נ' </w:t>
              </w:r>
              <w:r w:rsidR="00E731CA">
                <w:rPr>
                  <w:rFonts w:hint="cs"/>
                  <w:b/>
                  <w:bCs/>
                  <w:noProof w:val="0"/>
                  <w:sz w:val="26"/>
                  <w:szCs w:val="26"/>
                  <w:rtl/>
                </w:rPr>
                <w:t>אלמוני</w:t>
              </w:r>
            </w:sdtContent>
          </w:sdt>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4D543C"/>
    <w:multiLevelType w:val="hybridMultilevel"/>
    <w:tmpl w:val="5276136A"/>
    <w:lvl w:ilvl="0" w:tplc="02609924">
      <w:start w:val="1"/>
      <w:numFmt w:val="decimal"/>
      <w:lvlText w:val="%1."/>
      <w:lvlJc w:val="left"/>
      <w:pPr>
        <w:ind w:left="360" w:hanging="360"/>
      </w:pPr>
      <w:rPr>
        <w:b w:val="0"/>
        <w:bCs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151306"/>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151306&amp;lt;/CaseID&amp;gt;_x000d__x000a_        &amp;lt;CaseMonth&amp;gt;3&amp;lt;/CaseMonth&amp;gt;_x000d__x000a_        &amp;lt;CaseYear&amp;gt;2021&amp;lt;/CaseYear&amp;gt;_x000d__x000a_        &amp;lt;CaseNumber&amp;gt;5104&amp;lt;/CaseNumber&amp;gt;_x000d__x000a_        &amp;lt;NumeratorGroupID&amp;gt;1&amp;lt;/NumeratorGroupID&amp;gt;_x000d__x000a_        &amp;lt;CaseName&amp;gt;טורונה נ&amp;#39; טורונה&amp;lt;/CaseName&amp;gt;_x000d__x000a_        &amp;lt;CourtID&amp;gt;41&amp;lt;/CourtID&amp;gt;_x000d__x000a_        &amp;lt;CaseTypeID&amp;gt;10262&amp;lt;/CaseTypeID&amp;gt;_x000d__x000a_        &amp;lt;CaseInterestID&amp;gt;10118&amp;lt;/CaseInterestID&amp;gt;_x000d__x000a_        &amp;lt;CaseJudgeName&amp;gt;שני כ&amp;quot;ץ&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5104-03-21&amp;lt;/CaseDisplayIdentifier&amp;gt;_x000d__x000a_        &amp;lt;CaseTypeDesc&amp;gt;תלה&amp;quot;מ&amp;lt;/CaseTypeDesc&amp;gt;_x000d__x000a_        &amp;lt;CourtDesc&amp;gt;שלום באר שבע&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3-04-30T14:00:00+03:00&amp;lt;/CasePreviousSessionDate&amp;gt;_x000d__x000a_        &amp;lt;CaseNextDeterminingTask&amp;gt;34&amp;lt;/CaseNextDeterminingTask&amp;gt;_x000d__x000a_        &amp;lt;TemporaryAidStatus /&amp;gt;_x000d__x000a_        &amp;lt;CaseOpenDate&amp;gt;2021-03-02T12:09:00+02:00&amp;lt;/CaseOpenDate&amp;gt;_x000d__x000a_        &amp;lt;PleaTypeID&amp;gt;4&amp;lt;/PleaTypeID&amp;gt;_x000d__x000a_        &amp;lt;CourtLevelID&amp;gt;1&amp;lt;/CourtLevelID&amp;gt;_x000d__x000a_        &amp;lt;CourtLevelCaseTypeInterestID&amp;gt;1599&amp;lt;/CourtLevelCaseTypeInterestID&amp;gt;_x000d__x000a_        &amp;lt;CaseJudgeFirstName&amp;gt;שני&amp;lt;/CaseJudgeFirstName&amp;gt;_x000d__x000a_        &amp;lt;CaseJudgeLastName&amp;gt;כ&amp;quot;ץ&amp;lt;/CaseJudgeLastName&amp;gt;_x000d__x000a_        &amp;lt;JudicalPersonID&amp;gt;040360844@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IsMainCase&amp;gt;false&amp;lt;/IsMainCase&amp;gt;_x000d__x000a_        &amp;lt;CaseDesc&amp;gt;החלטה מיום 14.11.23 נצפתה באמצעות עו&amp;quot;ד שירלי אך אין מענה טלפוני &amp;lt;/CaseDesc&amp;gt;_x000d__x000a_        &amp;lt;isExistMinorSide&amp;gt;false&amp;lt;/isExistMinorSide&amp;gt;_x000d__x000a_        &amp;lt;isExistMinorWitness&amp;gt;false&amp;lt;/isExistMinorWitness&amp;gt;_x000d__x000a_        &amp;lt;CasePreviousSessionTypeID&amp;gt;5&amp;lt;/CasePreviousSessionTypeID&amp;gt;_x000d__x000a_        &amp;lt;CasePermitStatus&amp;gt;1&amp;lt;/CasePermitStatu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151306&amp;lt;/CaseID&amp;gt;_x000d__x000a_        &amp;lt;CaseMonth&amp;gt;3&amp;lt;/CaseMonth&amp;gt;_x000d__x000a_        &amp;lt;CaseYear&amp;gt;2021&amp;lt;/CaseYear&amp;gt;_x000d__x000a_        &amp;lt;CaseNumber&amp;gt;5104&amp;lt;/CaseNumber&amp;gt;_x000d__x000a_        &amp;lt;NumeratorGroupID&amp;gt;1&amp;lt;/NumeratorGroupID&amp;gt;_x000d__x000a_        &amp;lt;CaseName&amp;gt;טורונה נ&amp;#39; טורונה&amp;lt;/CaseName&amp;gt;_x000d__x000a_        &amp;lt;CourtID&amp;gt;41&amp;lt;/CourtID&amp;gt;_x000d__x000a_        &amp;lt;CaseTypeID&amp;gt;10262&amp;lt;/CaseTypeID&amp;gt;_x000d__x000a_        &amp;lt;CaseInterestID&amp;gt;10118&amp;lt;/CaseInterestID&amp;gt;_x000d__x000a_        &amp;lt;CaseJudgeName&amp;gt;שני כ&amp;quot;ץ&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5104-03-21&amp;lt;/CaseDisplayIdentifier&amp;gt;_x000d__x000a_        &amp;lt;CaseTypeDesc&amp;gt;תלה&amp;quot;מ&amp;lt;/CaseTypeDesc&amp;gt;_x000d__x000a_        &amp;lt;CourtDesc&amp;gt;שלום באר שבע&amp;lt;/CourtDesc&amp;gt;_x000d__x000a_        &amp;lt;CaseStageDesc&amp;gt;תיק אלקטרוני&amp;lt;/CaseStageDesc&amp;gt;_x000d__x000a_        &amp;lt;CaseNextDeterminingTask&amp;gt;34&amp;lt;/CaseNextDeterminingTask&amp;gt;_x000d__x000a_        &amp;lt;CaseOpenDate&amp;gt;2021-03-02T12:09:00+02:00&amp;lt;/CaseOpenDate&amp;gt;_x000d__x000a_        &amp;lt;PleaTypeID&amp;gt;4&amp;lt;/PleaTypeID&amp;gt;_x000d__x000a_        &amp;lt;CourtLevelID&amp;gt;1&amp;lt;/CourtLevelID&amp;gt;_x000d__x000a_        &amp;lt;CourtLevelCaseTypeInterestID&amp;gt;1599&amp;lt;/CourtLevelCaseTypeInterestID&amp;gt;_x000d__x000a_        &amp;lt;CaseJudgeFirstName&amp;gt;שני&amp;lt;/CaseJudgeFirstName&amp;gt;_x000d__x000a_        &amp;lt;CaseJudgeLastName&amp;gt;כ&amp;quot;ץ&amp;lt;/CaseJudgeLastName&amp;gt;_x000d__x000a_        &amp;lt;JudicalPersonID&amp;gt;040360844@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IsMainCase&amp;gt;false&amp;lt;/IsMainCase&amp;gt;_x000d__x000a_        &amp;lt;CaseDesc&amp;gt;החלטה מיום 14.11.23 נצפתה באמצעות עו&amp;quot;ד שירלי אך אין מענה טלפוני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1"/>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03-25T09:03:44.3508435+02:00&amp;lt;/DecisionStatusChangeDate&amp;gt;_x000d__x000a_        &amp;lt;DecisionSignatureDate&amp;gt;2024-03-25T09:03:44.3508435+02:00&amp;lt;/DecisionSignatureDate&amp;gt;_x000d__x000a_        &amp;lt;DecisionSignatureUserID&amp;gt;040360844@GOV.IL&amp;lt;/DecisionSignatureUserID&amp;gt;_x000d__x000a_        &amp;lt;DecisionCreateDate&amp;gt;2024-03-25T09:03:44.3508435+02:00&amp;lt;/DecisionCreateDate&amp;gt;_x000d__x000a_        &amp;lt;DecisionChangeDate&amp;gt;2024-03-25T09:03:44.3508435+02:00&amp;lt;/DecisionChangeDate&amp;gt;_x000d__x000a_        &amp;lt;DecisionChangeUserID&amp;gt;040360844@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40360844@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40360844@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2&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78151306&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0118"/>
    <w:docVar w:name="NGCS.TemplateCaseTypeID" w:val="10262"/>
    <w:docVar w:name="NGCS.TemplateCategoryID" w:val="80"/>
    <w:docVar w:name="NGCS.TemplateCourtID" w:val="41"/>
    <w:docVar w:name="NGCS.TemplateProceedingID" w:val="3"/>
    <w:docVar w:name="SelectedDocumentID" w:val="0"/>
    <w:docVar w:name="WordClientAssemblyName" w:val="NGCS.Decision.ClientWordBL"/>
    <w:docVar w:name="WordClientClassName" w:val="NGCS.Decision.ClientWordBL.DecisionClient"/>
  </w:docVars>
  <w:rsids>
    <w:rsidRoot w:val="00694556"/>
    <w:rsid w:val="00005C8B"/>
    <w:rsid w:val="000146C2"/>
    <w:rsid w:val="00016C35"/>
    <w:rsid w:val="000258FD"/>
    <w:rsid w:val="000564AB"/>
    <w:rsid w:val="00056C0E"/>
    <w:rsid w:val="000D4A02"/>
    <w:rsid w:val="000E2A72"/>
    <w:rsid w:val="000F0DE9"/>
    <w:rsid w:val="001072A9"/>
    <w:rsid w:val="00116BDC"/>
    <w:rsid w:val="00121F97"/>
    <w:rsid w:val="001277D7"/>
    <w:rsid w:val="00132017"/>
    <w:rsid w:val="0014234E"/>
    <w:rsid w:val="00145A87"/>
    <w:rsid w:val="001C4003"/>
    <w:rsid w:val="001F5474"/>
    <w:rsid w:val="00206E45"/>
    <w:rsid w:val="002352F7"/>
    <w:rsid w:val="0027277D"/>
    <w:rsid w:val="00381D3A"/>
    <w:rsid w:val="003823DA"/>
    <w:rsid w:val="00402945"/>
    <w:rsid w:val="0043595F"/>
    <w:rsid w:val="0047645A"/>
    <w:rsid w:val="00484122"/>
    <w:rsid w:val="004D49A3"/>
    <w:rsid w:val="004D50AC"/>
    <w:rsid w:val="004E6E3C"/>
    <w:rsid w:val="005124F1"/>
    <w:rsid w:val="005135F8"/>
    <w:rsid w:val="00530BAD"/>
    <w:rsid w:val="00540277"/>
    <w:rsid w:val="00541598"/>
    <w:rsid w:val="00547DB7"/>
    <w:rsid w:val="00567324"/>
    <w:rsid w:val="005B0F49"/>
    <w:rsid w:val="005C7EC6"/>
    <w:rsid w:val="005D4BDB"/>
    <w:rsid w:val="00622BAA"/>
    <w:rsid w:val="00625C89"/>
    <w:rsid w:val="00633C4F"/>
    <w:rsid w:val="006438B4"/>
    <w:rsid w:val="00671BD5"/>
    <w:rsid w:val="006805C1"/>
    <w:rsid w:val="006816EC"/>
    <w:rsid w:val="00694556"/>
    <w:rsid w:val="006E1A53"/>
    <w:rsid w:val="006E70AD"/>
    <w:rsid w:val="007056AA"/>
    <w:rsid w:val="00731B20"/>
    <w:rsid w:val="00732551"/>
    <w:rsid w:val="00736047"/>
    <w:rsid w:val="00744F41"/>
    <w:rsid w:val="00797BA2"/>
    <w:rsid w:val="007A0BB0"/>
    <w:rsid w:val="007A24FE"/>
    <w:rsid w:val="007A35AA"/>
    <w:rsid w:val="007F1048"/>
    <w:rsid w:val="00820005"/>
    <w:rsid w:val="00846D27"/>
    <w:rsid w:val="008610A7"/>
    <w:rsid w:val="008E1332"/>
    <w:rsid w:val="00903896"/>
    <w:rsid w:val="00927813"/>
    <w:rsid w:val="00944D13"/>
    <w:rsid w:val="00957C90"/>
    <w:rsid w:val="009616C3"/>
    <w:rsid w:val="00961D49"/>
    <w:rsid w:val="009B70F6"/>
    <w:rsid w:val="009C358E"/>
    <w:rsid w:val="009E0263"/>
    <w:rsid w:val="00A267CF"/>
    <w:rsid w:val="00A342BD"/>
    <w:rsid w:val="00A41EE0"/>
    <w:rsid w:val="00A43458"/>
    <w:rsid w:val="00AA5BF6"/>
    <w:rsid w:val="00AC4E19"/>
    <w:rsid w:val="00AF1ED6"/>
    <w:rsid w:val="00B32C61"/>
    <w:rsid w:val="00B368FE"/>
    <w:rsid w:val="00B74855"/>
    <w:rsid w:val="00B80CBD"/>
    <w:rsid w:val="00BA6638"/>
    <w:rsid w:val="00BC3369"/>
    <w:rsid w:val="00BD23F1"/>
    <w:rsid w:val="00BF77EE"/>
    <w:rsid w:val="00C32E0F"/>
    <w:rsid w:val="00C42BF9"/>
    <w:rsid w:val="00C83E56"/>
    <w:rsid w:val="00CA3046"/>
    <w:rsid w:val="00CB4C88"/>
    <w:rsid w:val="00CC63CE"/>
    <w:rsid w:val="00CC65A8"/>
    <w:rsid w:val="00D319B3"/>
    <w:rsid w:val="00D36A71"/>
    <w:rsid w:val="00D53924"/>
    <w:rsid w:val="00D60849"/>
    <w:rsid w:val="00D96D8C"/>
    <w:rsid w:val="00DA755B"/>
    <w:rsid w:val="00DD337E"/>
    <w:rsid w:val="00DE3DC7"/>
    <w:rsid w:val="00E00B6F"/>
    <w:rsid w:val="00E44DDF"/>
    <w:rsid w:val="00E54642"/>
    <w:rsid w:val="00E66EED"/>
    <w:rsid w:val="00E731CA"/>
    <w:rsid w:val="00E97908"/>
    <w:rsid w:val="00EF3ED0"/>
    <w:rsid w:val="00F12B2B"/>
    <w:rsid w:val="00F17E56"/>
    <w:rsid w:val="00FB3C1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character" w:styleId="Hyperlink">
    <w:name w:val="Hyperlink"/>
    <w:semiHidden/>
    <w:unhideWhenUsed/>
    <w:rsid w:val="00F12B2B"/>
    <w:rPr>
      <w:color w:val="0000FF"/>
      <w:u w:val="single"/>
    </w:rPr>
  </w:style>
  <w:style w:type="paragraph" w:styleId="ad">
    <w:name w:val="footnote text"/>
    <w:basedOn w:val="a"/>
    <w:link w:val="ae"/>
    <w:uiPriority w:val="99"/>
    <w:semiHidden/>
    <w:unhideWhenUsed/>
    <w:rsid w:val="00F12B2B"/>
    <w:rPr>
      <w:rFonts w:asciiTheme="minorHAnsi" w:eastAsiaTheme="minorHAnsi" w:hAnsiTheme="minorHAnsi" w:cstheme="minorBidi"/>
      <w:noProof w:val="0"/>
      <w:sz w:val="20"/>
      <w:szCs w:val="20"/>
    </w:rPr>
  </w:style>
  <w:style w:type="character" w:customStyle="1" w:styleId="ae">
    <w:name w:val="טקסט הערת שוליים תו"/>
    <w:basedOn w:val="a0"/>
    <w:link w:val="ad"/>
    <w:uiPriority w:val="99"/>
    <w:semiHidden/>
    <w:rsid w:val="00F12B2B"/>
    <w:rPr>
      <w:rFonts w:asciiTheme="minorHAnsi" w:eastAsiaTheme="minorHAnsi" w:hAnsiTheme="minorHAnsi" w:cstheme="minorBidi"/>
    </w:rPr>
  </w:style>
  <w:style w:type="paragraph" w:styleId="af">
    <w:name w:val="List Paragraph"/>
    <w:basedOn w:val="a"/>
    <w:uiPriority w:val="34"/>
    <w:qFormat/>
    <w:rsid w:val="00F12B2B"/>
    <w:pPr>
      <w:spacing w:after="160" w:line="256" w:lineRule="auto"/>
      <w:ind w:left="720"/>
      <w:contextualSpacing/>
    </w:pPr>
    <w:rPr>
      <w:rFonts w:asciiTheme="minorHAnsi" w:eastAsiaTheme="minorHAnsi" w:hAnsiTheme="minorHAnsi" w:cstheme="minorBidi"/>
      <w:noProof w:val="0"/>
      <w:sz w:val="22"/>
      <w:szCs w:val="22"/>
    </w:rPr>
  </w:style>
  <w:style w:type="paragraph" w:customStyle="1" w:styleId="10">
    <w:name w:val="פיסקת רשימה1"/>
    <w:basedOn w:val="a"/>
    <w:qFormat/>
    <w:rsid w:val="00F12B2B"/>
    <w:pPr>
      <w:ind w:left="720"/>
      <w:contextualSpacing/>
    </w:pPr>
  </w:style>
  <w:style w:type="character" w:styleId="af0">
    <w:name w:val="footnote reference"/>
    <w:basedOn w:val="a0"/>
    <w:uiPriority w:val="99"/>
    <w:semiHidden/>
    <w:unhideWhenUsed/>
    <w:rsid w:val="00F12B2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9487358">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23481371">
      <w:bodyDiv w:val="1"/>
      <w:marLeft w:val="0"/>
      <w:marRight w:val="0"/>
      <w:marTop w:val="0"/>
      <w:marBottom w:val="0"/>
      <w:divBdr>
        <w:top w:val="none" w:sz="0" w:space="0" w:color="auto"/>
        <w:left w:val="none" w:sz="0" w:space="0" w:color="auto"/>
        <w:bottom w:val="none" w:sz="0" w:space="0" w:color="auto"/>
        <w:right w:val="none" w:sz="0" w:space="0" w:color="auto"/>
      </w:divBdr>
    </w:div>
    <w:div w:id="2035955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nevo.co.il/case/17930221" TargetMode="External"/><Relationship Id="rId18" Type="http://schemas.openxmlformats.org/officeDocument/2006/relationships/hyperlink" Target="http://www.nevo.co.il/case/25079398"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1.jpg"/><Relationship Id="rId7" Type="http://schemas.openxmlformats.org/officeDocument/2006/relationships/footnotes" Target="footnotes.xml"/><Relationship Id="rId12" Type="http://schemas.openxmlformats.org/officeDocument/2006/relationships/hyperlink" Target="http://www.nevo.co.il/case/5726712" TargetMode="External"/><Relationship Id="rId17" Type="http://schemas.openxmlformats.org/officeDocument/2006/relationships/hyperlink" Target="http://www.nevo.co.il/case/26224818" TargetMode="External"/><Relationship Id="rId25"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hyperlink" Target="http://www.nevo.co.il/case/26091948" TargetMode="External"/><Relationship Id="rId20" Type="http://schemas.openxmlformats.org/officeDocument/2006/relationships/hyperlink" Target="https://www.nevo.co.il/links/psika/?link=%D7%A2%D7%90%202136/90"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nevo.co.il/case/17946005"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nevo.co.il/case/17932816" TargetMode="External"/><Relationship Id="rId23" Type="http://schemas.openxmlformats.org/officeDocument/2006/relationships/footer" Target="footer1.xml"/><Relationship Id="rId10" Type="http://schemas.openxmlformats.org/officeDocument/2006/relationships/hyperlink" Target="http://www.nevo.co.il/law/71532" TargetMode="External"/><Relationship Id="rId19" Type="http://schemas.openxmlformats.org/officeDocument/2006/relationships/hyperlink" Target="https://www.nevo.co.il/links/psika/?link=%D7%A2%D7%90%204280/90" TargetMode="External"/><Relationship Id="rId4" Type="http://schemas.openxmlformats.org/officeDocument/2006/relationships/styles" Target="styles.xml"/><Relationship Id="rId9" Type="http://schemas.openxmlformats.org/officeDocument/2006/relationships/hyperlink" Target="http://www.nevo.co.il/law/71532/3.a" TargetMode="External"/><Relationship Id="rId14" Type="http://schemas.openxmlformats.org/officeDocument/2006/relationships/hyperlink" Target="http://www.nevo.co.il/case/17946598"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Arial (W1)">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Light">
    <w:panose1 w:val="020F0302020204030204"/>
    <w:charset w:val="00"/>
    <w:family w:val="swiss"/>
    <w:pitch w:val="variable"/>
    <w:sig w:usb0="A00002EF" w:usb1="4000207B"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226C2B"/>
    <w:rsid w:val="005B748A"/>
    <w:rsid w:val="00833049"/>
    <w:rsid w:val="00B40AEB"/>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78151306</CaseID>
    <CaseJudicialPersonPresentationDS>
      <CaseJudicalPersonActive>
        <CaseID>78151306</CaseID>
        <JudicialPersonID>040360844@GOV.IL</JudicialPersonID>
        <JudicialPersonTypeID>1</JudicialPersonTypeID>
        <JudicialTypeID>1</JudicialTypeID>
        <IsChairman>false</IsChairman>
        <TreatmentStartDate>2022-03-20T13:34:42.797+02:00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זהבית מקונן צוקרמן</FullName>
        <FirstName>זהבית</FirstName>
        <LastName>מקונן צוקרמן</LastName>
        <PartyPropertyName/>
        <AuthenticationTypeAndNumber>מ.ר. 64339</AuthenticationTypeAndNumber>
        <RepresentatedOrRepresentativesNames>מחרט משה טורונה</RepresentatedOrRepresentativesNames>
        <RepresentatedOrRepresentativesCount>1</RepresentatedOrRepresentativesCount>
        <InvitedBy/>
        <CaseID>78151306</CaseID>
        <CaseJudicialPersonPresentationDS>
          <CaseJudicalPersonActive>
            <CaseID>78151306</CaseID>
            <JudicialPersonID>040360844@GOV.IL</JudicialPersonID>
            <JudicialPersonTypeID>1</JudicialPersonTypeID>
            <JudicialTypeID>1</JudicialTypeID>
            <IsChairman>false</IsChairman>
            <TreatmentStartDate>2022-03-20T13:34:42.797+02:00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224330704</CasePartyID>
        <PartyTypeID>2</PartyTypeID>
        <ActivityStatusID>1</ActivityStatusID>
        <PartyAliasID>21</PartyAliasID>
        <PartyAliasName>בא כוח נתבעים</PartyAliasName>
        <LegalEntityID>77462592</LegalEntityID>
        <CaseLegalEntityID>114670279</CaseLegalEntityID>
        <AuthenticationTypeID>4</AuthenticationTypeID>
        <AuthenticationTypeName>מ.ר.</AuthenticationTypeName>
        <LegalEntityNumber>64339</LegalEntityNumber>
        <IsMainPartyType>true</IsMainPartyType>
        <CaseDisplayIdentifier>5104-03-21</CaseDisplayIdentifier>
        <CaseTypeID>10262</CaseTypeID>
        <CaseTypeName>תביעה לאחר הסדר התדיינויות במשפחה (תלה"מ)</CaseTypeName>
        <CaseName>טורונה נ' טורונה</CaseName>
        <FullAddress>שדרות יצחק רגר באר שבע </FullAddress>
        <EmailAddress>Zehavit@psot.bgu.ac.il</EmailAddress>
        <MotionID>0</MotionID>
        <CasePleaID>0</CasePleaID>
        <LinkedCaseID>0</LinkedCaseID>
        <PartyID>2</PartyID>
        <CasePartyCategoryID>2</CasePartyCategoryID>
        <LegalEntityAddressID>81627579</LegalEntityAddressID>
        <LegalEntityEmailAddressID>67991912</LegalEntityEmailAddressID>
        <PleaTypeID>4</PleaTypeID>
        <LawyerOfficeName>משרד עו"ד זהבית מקונן צוקרמן</LawyerOfficeName>
        <LawyerOfficeID>77462593</LawyerOfficeID>
        <GroupPartyAlias/>
        <IsConverted>false</IsConverted>
        <LegalEntityNameID>86289103</LegalEntityNameID>
        <RepresentatedNamesOfAssistant/>
        <LegalEntityTypeID>4</LegalEntityTypeID>
        <IsVerdictExists>false</IsVerdictExists>
        <IsAsirAzir>false</IsAsirAzir>
        <IsPublicationProhibited>false</IsPublicationProhibited>
        <PublicationProhibitedFullName>זהבית מקונן צוקרמן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אסתר טורונה</FullName>
        <FirstName>אסתר</FirstName>
        <LastName>טורונה</LastName>
        <PartyPropertyName/>
        <AuthenticationTypeAndNumber>ת"ז 015751811</AuthenticationTypeAndNumber>
        <RepresentatedOrRepresentativesNames>שירלי נגר-כהן</RepresentatedOrRepresentativesNames>
        <RepresentatedOrRepresentativesCount>1</RepresentatedOrRepresentativesCount>
        <InvitedBy/>
        <CaseID>78151306</CaseID>
        <CaseJudicialPersonPresentationDS>
          <CaseJudicalPersonActive>
            <CaseID>78151306</CaseID>
            <JudicialPersonID>040360844@GOV.IL</JudicialPersonID>
            <JudicialPersonTypeID>1</JudicialPersonTypeID>
            <JudicialTypeID>1</JudicialTypeID>
            <IsChairman>false</IsChairman>
            <TreatmentStartDate>2022-03-20T13:34:42.797+02:00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223534217</CasePartyID>
        <PartyTypeID>1</PartyTypeID>
        <ActivityStatusID>1</ActivityStatusID>
        <PartyAliasID>1</PartyAliasID>
        <PartyAliasName>תובע</PartyAliasName>
        <OrdinalNumber>1</OrdinalNumber>
        <LegalEntityID>79602771</LegalEntityID>
        <CaseLegalEntityID>114443562</CaseLegalEntityID>
        <AuthenticationTypeID>1</AuthenticationTypeID>
        <AuthenticationTypeName>ת"ז</AuthenticationTypeName>
        <LegalEntityNumber>015751811</LegalEntityNumber>
        <IsMainPartyType>true</IsMainPartyType>
        <CaseDisplayIdentifier>5104-03-21</CaseDisplayIdentifier>
        <CaseTypeID>10262</CaseTypeID>
        <CaseTypeName>תביעה לאחר הסדר התדיינויות במשפחה (תלה"מ)</CaseTypeName>
        <CaseName>טורונה נ' טורונה</CaseName>
        <FullAddress>ברדיצבסקי 1/8 באר שבע </FullAddress>
        <MotionID>0</MotionID>
        <CasePleaID>0</CasePleaID>
        <FatherName>טדסה</FatherName>
        <LinkedCaseID>0</LinkedCaseID>
        <PartyID>1</PartyID>
        <CasePartyCategoryID>2</CasePartyCategoryID>
        <LegalEntityAddressID>84928124</LegalEntityAddressID>
        <PleaTypeID>4</PleaTypeID>
        <GroupPartyAlias>תובעים</GroupPartyAlias>
        <IsConverted>false</IsConverted>
        <LegalEntityRegisteredNameID>9437392</LegalEntityRegisteredNameID>
        <LegalEntityNameID>91031323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אסתר טורונה</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שירלי נגר-כהן</FullName>
        <FirstName>שירלי</FirstName>
        <LastName>נגר-כהן</LastName>
        <PartyPropertyName/>
        <AuthenticationTypeAndNumber>מ.ר. 44304</AuthenticationTypeAndNumber>
        <RepresentatedOrRepresentativesNames>אסתר טורונה</RepresentatedOrRepresentativesNames>
        <RepresentatedOrRepresentativesCount>1</RepresentatedOrRepresentativesCount>
        <InvitedBy/>
        <CaseID>78151306</CaseID>
        <CaseJudicialPersonPresentationDS>
          <CaseJudicalPersonActive>
            <CaseID>78151306</CaseID>
            <JudicialPersonID>040360844@GOV.IL</JudicialPersonID>
            <JudicialPersonTypeID>1</JudicialPersonTypeID>
            <JudicialTypeID>1</JudicialTypeID>
            <IsChairman>false</IsChairman>
            <TreatmentStartDate>2022-03-20T13:34:42.797+02:00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223534218</CasePartyID>
        <PartyTypeID>2</PartyTypeID>
        <ActivityStatusID>1</ActivityStatusID>
        <PartyAliasID>20</PartyAliasID>
        <PartyAliasName>בא כוח תובעים</PartyAliasName>
        <OrdinalNumber>1</OrdinalNumber>
        <LegalEntityID>2115483</LegalEntityID>
        <CaseLegalEntityID>114443563</CaseLegalEntityID>
        <AuthenticationTypeID>4</AuthenticationTypeID>
        <AuthenticationTypeName>מ.ר.</AuthenticationTypeName>
        <LegalEntityNumber>44304</LegalEntityNumber>
        <IsMainPartyType>true</IsMainPartyType>
        <CaseDisplayIdentifier>5104-03-21</CaseDisplayIdentifier>
        <CaseTypeID>10262</CaseTypeID>
        <CaseTypeName>תביעה לאחר הסדר התדיינויות במשפחה (תלה"מ)</CaseTypeName>
        <CaseName>טורונה נ' טורונה</CaseName>
        <FullAddress>הנרייטה סולד 4 באר שבע </FullAddress>
        <MotionID>0</MotionID>
        <CasePleaID>0</CasePleaID>
        <LinkedCaseID>0</LinkedCaseID>
        <PartyID>1</PartyID>
        <CasePartyCategoryID>2</CasePartyCategoryID>
        <LegalEntityAddressID>82313430</LegalEntityAddressID>
        <PleaTypeID>4</PleaTypeID>
        <LawyerOfficeName>משרד עו"ד שירלי נגר -כהן</LawyerOfficeName>
        <LawyerOfficeID>2115484</LawyerOfficeID>
        <GroupPartyAlias/>
        <IsConverted>false</IsConverted>
        <LegalEntityNameID>87299812</LegalEntityNameID>
        <RepresentatedNamesOfAssistant/>
        <LegalEntityTypeID>4</LegalEntityTypeID>
        <IsVerdictExists>false</IsVerdictExists>
        <IsAsirAzir>false</IsAsirAzir>
        <IsPublicationProhibited>false</IsPublicationProhibited>
        <PublicationProhibitedFullName>שירלי נגר-כהן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מחרט משה טורונה</FullName>
        <FirstName>מחרט</FirstName>
        <LastName>טורונה</LastName>
        <PartyPropertyName/>
        <AuthenticationTypeAndNumber>ת"ז 014755714</AuthenticationTypeAndNumber>
        <RepresentatedOrRepresentativesNames>זהבית מקונן צוקרמן</RepresentatedOrRepresentativesNames>
        <RepresentatedOrRepresentativesCount>1</RepresentatedOrRepresentativesCount>
        <InvitedBy/>
        <CaseID>78151306</CaseID>
        <CaseJudicialPersonPresentationDS>
          <CaseJudicalPersonActive>
            <CaseID>78151306</CaseID>
            <JudicialPersonID>040360844@GOV.IL</JudicialPersonID>
            <JudicialPersonTypeID>1</JudicialPersonTypeID>
            <JudicialTypeID>1</JudicialTypeID>
            <IsChairman>false</IsChairman>
            <TreatmentStartDate>2022-03-20T13:34:42.797+02:00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223534219</CasePartyID>
        <PartyTypeID>1</PartyTypeID>
        <ActivityStatusID>1</ActivityStatusID>
        <PartyAliasID>2</PartyAliasID>
        <PartyAliasName>נתבע</PartyAliasName>
        <OrdinalNumber>1</OrdinalNumber>
        <LegalEntityID>78614703</LegalEntityID>
        <CaseLegalEntityID>114443564</CaseLegalEntityID>
        <AuthenticationTypeID>1</AuthenticationTypeID>
        <AuthenticationTypeName>ת"ז</AuthenticationTypeName>
        <LegalEntityNumber>014755714</LegalEntityNumber>
        <IsMainPartyType>true</IsMainPartyType>
        <CaseDisplayIdentifier>5104-03-21</CaseDisplayIdentifier>
        <CaseTypeID>10262</CaseTypeID>
        <CaseTypeName>תביעה לאחר הסדר התדיינויות במשפחה (תלה"מ)</CaseTypeName>
        <CaseName>טורונה נ' טורונה</CaseName>
        <FullAddress>שאול המלך 36 באר שבע </FullAddress>
        <MotionID>0</MotionID>
        <CasePleaID>0</CasePleaID>
        <FatherName>אהרון</FatherName>
        <LinkedCaseID>0</LinkedCaseID>
        <PartyID>2</PartyID>
        <CasePartyCategoryID>2</CasePartyCategoryID>
        <LegalEntityAddressID>84928125</LegalEntityAddressID>
        <PleaTypeID>4</PleaTypeID>
        <GroupPartyAlias>נתבעים</GroupPartyAlias>
        <IsConverted>false</IsConverted>
        <LegalEntityRegisteredNameID>9111309</LegalEntityRegisteredNameID>
        <LegalEntityNameID>91031324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מחרט משה טורונה</PublicationProhibitedFullName>
      </CaseParties>
    </CasePartiesSelectionDS>
    <DecisionName>פסק דין  שניתנה ע"י  שני כ"ץ</DecisionName>
    <CourtDisplayName>בית משפט לענייני משפחה בבאר שבע</CourtDisplayName>
    <IsCaseJudgePanel>false</IsCaseJudgePanel>
    <DecisionSignatureDate>2024-03-25T09:03:44.3508435+02:00</DecisionSignatureDate>
    <OpenCaseDate>2021-03-02T12:09:00+02:00</OpenCaseDate>
    <CaseFeeSum>0.000</CaseFeeSum>
    <DecisionTypeID>2</DecisionTypeID>
    <DecisionSignatureUserName>שני כ"ץ</DecisionSignatureUserName>
    <DecisionSignatureDateHebrew>2024-03-25T09:03:44.3508435+02:00</DecisionSignatureDateHebrew>
    <DecisionWriterID>040360844@GOV.IL</DecisionWriterID>
    <CourtAddress>רח' התקווה 5 היכל המשפט, באר שבע 84102</CourtAddress>
    <IsAutoTextInCaseExist>false</IsAutoTextInCaseExist>
    <DecisionSignatureRoleName>שופט</DecisionSignatureRoleName>
    <DecisionSignatureUserTitleName>שופטת</DecisionSignatureUserTitleName>
    <CaseName>טורונה נ' טורונה</CaseName>
    <DecisionNumberInCase>12</DecisionNumberInCase>
  </dt_Decision>
  <dt_DecisionCase>
    <DecisionID>0</DecisionID>
    <CaseID>78151306</CaseID>
    <CaseJudicialPersonPresentationDS>
      <CaseJudicalPersonActive>
        <CaseID>78151306</CaseID>
        <JudicialPersonID>040360844@GOV.IL</JudicialPersonID>
        <JudicialPersonTypeID>1</JudicialPersonTypeID>
        <JudicialTypeID>1</JudicialTypeID>
        <IsChairman>false</IsChairman>
        <TreatmentStartDate>2022-03-20T13:34:42.797+02:00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זהבית מקונן צוקרמן</FullName>
        <FirstName>זהבית</FirstName>
        <LastName>מקונן צוקרמן</LastName>
        <PartyPropertyName/>
        <AuthenticationTypeAndNumber>מ.ר. 64339</AuthenticationTypeAndNumber>
        <RepresentatedOrRepresentativesNames>מחרט משה טורונה</RepresentatedOrRepresentativesNames>
        <RepresentatedOrRepresentativesCount>1</RepresentatedOrRepresentativesCount>
        <InvitedBy/>
        <CaseID>78151306</CaseID>
        <CaseJudicialPersonPresentationDS>
          <CaseJudicalPersonActive>
            <CaseID>78151306</CaseID>
            <JudicialPersonID>040360844@GOV.IL</JudicialPersonID>
            <JudicialPersonTypeID>1</JudicialPersonTypeID>
            <JudicialTypeID>1</JudicialTypeID>
            <IsChairman>false</IsChairman>
            <TreatmentStartDate>2022-03-20T13:34:42.797+02:00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224330704</CasePartyID>
        <PartyTypeID>2</PartyTypeID>
        <ActivityStatusID>1</ActivityStatusID>
        <PartyAliasID>21</PartyAliasID>
        <PartyAliasName>בא כוח נתבעים</PartyAliasName>
        <LegalEntityID>77462592</LegalEntityID>
        <CaseLegalEntityID>114670279</CaseLegalEntityID>
        <AuthenticationTypeID>4</AuthenticationTypeID>
        <AuthenticationTypeName>מ.ר.</AuthenticationTypeName>
        <LegalEntityNumber>64339</LegalEntityNumber>
        <IsMainPartyType>true</IsMainPartyType>
        <CaseDisplayIdentifier>5104-03-21</CaseDisplayIdentifier>
        <CaseTypeID>10262</CaseTypeID>
        <CaseTypeName>תביעה לאחר הסדר התדיינויות במשפחה (תלה"מ)</CaseTypeName>
        <CaseName>טורונה נ' טורונה</CaseName>
        <FullAddress>שדרות יצחק רגר באר שבע </FullAddress>
        <EmailAddress>Zehavit@psot.bgu.ac.il</EmailAddress>
        <MotionID>0</MotionID>
        <CasePleaID>0</CasePleaID>
        <LinkedCaseID>0</LinkedCaseID>
        <PartyID>2</PartyID>
        <CasePartyCategoryID>2</CasePartyCategoryID>
        <LegalEntityAddressID>81627579</LegalEntityAddressID>
        <LegalEntityEmailAddressID>67991912</LegalEntityEmailAddressID>
        <PleaTypeID>4</PleaTypeID>
        <LawyerOfficeName>משרד עו"ד זהבית מקונן צוקרמן</LawyerOfficeName>
        <LawyerOfficeID>77462593</LawyerOfficeID>
        <GroupPartyAlias/>
        <IsConverted>false</IsConverted>
        <LegalEntityNameID>86289103</LegalEntityNameID>
        <RepresentatedNamesOfAssistant/>
        <LegalEntityTypeID>4</LegalEntityTypeID>
        <IsVerdictExists>false</IsVerdictExists>
        <IsAsirAzir>false</IsAsirAzir>
        <IsPublicationProhibited>false</IsPublicationProhibited>
        <PublicationProhibitedFullName>זהבית מקונן צוקרמן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אסתר טורונה</FullName>
        <FirstName>אסתר</FirstName>
        <LastName>טורונה</LastName>
        <PartyPropertyName/>
        <AuthenticationTypeAndNumber>ת"ז 015751811</AuthenticationTypeAndNumber>
        <RepresentatedOrRepresentativesNames>שירלי נגר-כהן</RepresentatedOrRepresentativesNames>
        <RepresentatedOrRepresentativesCount>1</RepresentatedOrRepresentativesCount>
        <InvitedBy/>
        <CaseID>78151306</CaseID>
        <CaseJudicialPersonPresentationDS>
          <CaseJudicalPersonActive>
            <CaseID>78151306</CaseID>
            <JudicialPersonID>040360844@GOV.IL</JudicialPersonID>
            <JudicialPersonTypeID>1</JudicialPersonTypeID>
            <JudicialTypeID>1</JudicialTypeID>
            <IsChairman>false</IsChairman>
            <TreatmentStartDate>2022-03-20T13:34:42.797+02:00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223534217</CasePartyID>
        <PartyTypeID>1</PartyTypeID>
        <ActivityStatusID>1</ActivityStatusID>
        <PartyAliasID>1</PartyAliasID>
        <PartyAliasName>תובע</PartyAliasName>
        <OrdinalNumber>1</OrdinalNumber>
        <LegalEntityID>79602771</LegalEntityID>
        <CaseLegalEntityID>114443562</CaseLegalEntityID>
        <AuthenticationTypeID>1</AuthenticationTypeID>
        <AuthenticationTypeName>ת"ז</AuthenticationTypeName>
        <LegalEntityNumber>015751811</LegalEntityNumber>
        <IsMainPartyType>true</IsMainPartyType>
        <CaseDisplayIdentifier>5104-03-21</CaseDisplayIdentifier>
        <CaseTypeID>10262</CaseTypeID>
        <CaseTypeName>תביעה לאחר הסדר התדיינויות במשפחה (תלה"מ)</CaseTypeName>
        <CaseName>טורונה נ' טורונה</CaseName>
        <FullAddress>ברדיצבסקי 1/8 באר שבע </FullAddress>
        <MotionID>0</MotionID>
        <CasePleaID>0</CasePleaID>
        <FatherName>טדסה</FatherName>
        <LinkedCaseID>0</LinkedCaseID>
        <PartyID>1</PartyID>
        <CasePartyCategoryID>2</CasePartyCategoryID>
        <LegalEntityAddressID>84928124</LegalEntityAddressID>
        <PleaTypeID>4</PleaTypeID>
        <GroupPartyAlias>תובעים</GroupPartyAlias>
        <IsConverted>false</IsConverted>
        <LegalEntityRegisteredNameID>9437392</LegalEntityRegisteredNameID>
        <LegalEntityNameID>91031323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אסתר טורונה</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שירלי נגר-כהן</FullName>
        <FirstName>שירלי</FirstName>
        <LastName>נגר-כהן</LastName>
        <PartyPropertyName/>
        <AuthenticationTypeAndNumber>מ.ר. 44304</AuthenticationTypeAndNumber>
        <RepresentatedOrRepresentativesNames>אסתר טורונה</RepresentatedOrRepresentativesNames>
        <RepresentatedOrRepresentativesCount>1</RepresentatedOrRepresentativesCount>
        <InvitedBy/>
        <CaseID>78151306</CaseID>
        <CaseJudicialPersonPresentationDS>
          <CaseJudicalPersonActive>
            <CaseID>78151306</CaseID>
            <JudicialPersonID>040360844@GOV.IL</JudicialPersonID>
            <JudicialPersonTypeID>1</JudicialPersonTypeID>
            <JudicialTypeID>1</JudicialTypeID>
            <IsChairman>false</IsChairman>
            <TreatmentStartDate>2022-03-20T13:34:42.797+02:00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223534218</CasePartyID>
        <PartyTypeID>2</PartyTypeID>
        <ActivityStatusID>1</ActivityStatusID>
        <PartyAliasID>20</PartyAliasID>
        <PartyAliasName>בא כוח תובעים</PartyAliasName>
        <OrdinalNumber>1</OrdinalNumber>
        <LegalEntityID>2115483</LegalEntityID>
        <CaseLegalEntityID>114443563</CaseLegalEntityID>
        <AuthenticationTypeID>4</AuthenticationTypeID>
        <AuthenticationTypeName>מ.ר.</AuthenticationTypeName>
        <LegalEntityNumber>44304</LegalEntityNumber>
        <IsMainPartyType>true</IsMainPartyType>
        <CaseDisplayIdentifier>5104-03-21</CaseDisplayIdentifier>
        <CaseTypeID>10262</CaseTypeID>
        <CaseTypeName>תביעה לאחר הסדר התדיינויות במשפחה (תלה"מ)</CaseTypeName>
        <CaseName>טורונה נ' טורונה</CaseName>
        <FullAddress>הנרייטה סולד 4 באר שבע </FullAddress>
        <MotionID>0</MotionID>
        <CasePleaID>0</CasePleaID>
        <LinkedCaseID>0</LinkedCaseID>
        <PartyID>1</PartyID>
        <CasePartyCategoryID>2</CasePartyCategoryID>
        <LegalEntityAddressID>82313430</LegalEntityAddressID>
        <PleaTypeID>4</PleaTypeID>
        <LawyerOfficeName>משרד עו"ד שירלי נגר -כהן</LawyerOfficeName>
        <LawyerOfficeID>2115484</LawyerOfficeID>
        <GroupPartyAlias/>
        <IsConverted>false</IsConverted>
        <LegalEntityNameID>87299812</LegalEntityNameID>
        <RepresentatedNamesOfAssistant/>
        <LegalEntityTypeID>4</LegalEntityTypeID>
        <IsVerdictExists>false</IsVerdictExists>
        <IsAsirAzir>false</IsAsirAzir>
        <IsPublicationProhibited>false</IsPublicationProhibited>
        <PublicationProhibitedFullName>שירלי נגר-כהן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מחרט משה טורונה</FullName>
        <FirstName>מחרט</FirstName>
        <LastName>טורונה</LastName>
        <PartyPropertyName/>
        <AuthenticationTypeAndNumber>ת"ז 014755714</AuthenticationTypeAndNumber>
        <RepresentatedOrRepresentativesNames>זהבית מקונן צוקרמן</RepresentatedOrRepresentativesNames>
        <RepresentatedOrRepresentativesCount>1</RepresentatedOrRepresentativesCount>
        <InvitedBy/>
        <CaseID>78151306</CaseID>
        <CaseJudicialPersonPresentationDS>
          <CaseJudicalPersonActive>
            <CaseID>78151306</CaseID>
            <JudicialPersonID>040360844@GOV.IL</JudicialPersonID>
            <JudicialPersonTypeID>1</JudicialPersonTypeID>
            <JudicialTypeID>1</JudicialTypeID>
            <IsChairman>false</IsChairman>
            <TreatmentStartDate>2022-03-20T13:34:42.797+02:00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223534219</CasePartyID>
        <PartyTypeID>1</PartyTypeID>
        <ActivityStatusID>1</ActivityStatusID>
        <PartyAliasID>2</PartyAliasID>
        <PartyAliasName>נתבע</PartyAliasName>
        <OrdinalNumber>1</OrdinalNumber>
        <LegalEntityID>78614703</LegalEntityID>
        <CaseLegalEntityID>114443564</CaseLegalEntityID>
        <AuthenticationTypeID>1</AuthenticationTypeID>
        <AuthenticationTypeName>ת"ז</AuthenticationTypeName>
        <LegalEntityNumber>014755714</LegalEntityNumber>
        <IsMainPartyType>true</IsMainPartyType>
        <CaseDisplayIdentifier>5104-03-21</CaseDisplayIdentifier>
        <CaseTypeID>10262</CaseTypeID>
        <CaseTypeName>תביעה לאחר הסדר התדיינויות במשפחה (תלה"מ)</CaseTypeName>
        <CaseName>טורונה נ' טורונה</CaseName>
        <FullAddress>שאול המלך 36 באר שבע </FullAddress>
        <MotionID>0</MotionID>
        <CasePleaID>0</CasePleaID>
        <FatherName>אהרון</FatherName>
        <LinkedCaseID>0</LinkedCaseID>
        <PartyID>2</PartyID>
        <CasePartyCategoryID>2</CasePartyCategoryID>
        <LegalEntityAddressID>84928125</LegalEntityAddressID>
        <PleaTypeID>4</PleaTypeID>
        <GroupPartyAlias>נתבעים</GroupPartyAlias>
        <IsConverted>false</IsConverted>
        <LegalEntityRegisteredNameID>9111309</LegalEntityRegisteredNameID>
        <LegalEntityNameID>91031324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מחרט משה טורונה</PublicationProhibitedFullName>
      </CaseParties>
    </CasePartiesSelectionDS>
    <CaseName>טורונה נ' טורונה</CaseName>
    <CaseDisplayIdentifier>5104-03-21</CaseDisplayIdentifier>
    <CaseInterestID>10118</CaseInterestID>
    <CaseTypeShortName>תלה"מ</CaseTypeShortName>
  </dt_DecisionCase>
  <dt_DecisionJudgePanel>
    <JudgeID>040360844@GOV.IL</JudgeID>
    <DisplayName>שני כ"ץ</DisplayName>
    <RoleName>שופט</RoleName>
    <UserTitleName>שופטת</UserTitleName>
  </dt_DecisionJudgePanel>
  <dt_LegalEntityDetails>
    <Fax>153-7740772</Fax>
    <Phone>077-4077277</Phone>
    <PartyID>2</PartyID>
    <PartyTypeID>2</PartyTypeID>
    <DecisionID>0</DecisionID>
    <StreetName>שדרות יצחק רגר</StreetName>
    <ZipCode>802000</ZipCode>
    <CityName>באר שבע</CityName>
    <FullName>זהבית מקונן צוקרמן</FullName>
    <Email>Zehavit@psot.bgu.ac.il</Email>
    <IsPublicationProhibited>false</IsPublicationProhibited>
  </dt_LegalEntityDetails>
  <dt_LegalEntityDetails>
    <PartyID>1</PartyID>
    <PartyTypeID>1</PartyTypeID>
    <DecisionID>0</DecisionID>
    <StreetName>ברדיצבסקי 1/8 </StreetName>
    <CityName>באר שבע</CityName>
    <FullName>אסתר טורונה </FullName>
    <IsPublicationProhibited>false</IsPublicationProhibited>
  </dt_LegalEntityDetails>
  <dt_LegalEntityDetails>
    <Fax>08-6271600</Fax>
    <Phone>08-6271700</Phone>
    <PartyID>1</PartyID>
    <PartyTypeID>2</PartyTypeID>
    <DecisionID>0</DecisionID>
    <StreetName>הנרייטה סולד 4</StreetName>
    <ZipCode>8489430</ZipCode>
    <CityName>באר שבע</CityName>
    <FullName>שירלי נגר-כהן</FullName>
    <IsPublicationProhibited>false</IsPublicationProhibited>
  </dt_LegalEntityDetails>
  <dt_LegalEntityDetails>
    <PartyID>2</PartyID>
    <PartyTypeID>1</PartyTypeID>
    <DecisionID>0</DecisionID>
    <StreetName>שאול המלך 36 </StreetName>
    <CityName>באר שבע</CityName>
    <FullName>מחרט משה טורונה </FullName>
    <IsPublicationProhibited>false</IsPublicationProhibited>
  </dt_LegalEntityDetails>
  <dt_CaseJudicalPersonActive>
    <CaseJudicalPerson>שופטת שני כ"ץ</CaseJudicalPerson>
  </dt_CaseJudicalPersonActive>
  <dt_Sitting>
    <PreviousMeetingDate>2023-04-30T14:00:00+03:00</PreviousMeetingDate>
    <PreviousSittingTypeID>5</PreviousSittingTypeID>
    <PreviousMeetingDisplayName>שופטת שני כ"ץ</PreviousMeetingDisplayName>
    <PreviousMeetingRoleName>שופט</PreviousMeetingRoleName>
    <PreviousMeetingUserTitleName>שופטת</PreviousMeetingUserTitleName>
    <PreviousMeetingUserUPN>040360844@GOV.IL</PreviousMeetingUserUPN>
  </dt_Sitting>
</DecisionTemplateDS>
</file>

<file path=customXml/itemProps1.xml><?xml version="1.0" encoding="utf-8"?>
<ds:datastoreItem xmlns:ds="http://schemas.openxmlformats.org/officeDocument/2006/customXml" ds:itemID="{2326B5E1-F1FD-42E3-A83C-150811D0C71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6348</Words>
  <Characters>31744</Characters>
  <Application>Microsoft Office Word</Application>
  <DocSecurity>0</DocSecurity>
  <Lines>264</Lines>
  <Paragraphs>76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38016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נעמה שחר</cp:lastModifiedBy>
  <cp:revision>2</cp:revision>
  <dcterms:created xsi:type="dcterms:W3CDTF">2024-05-16T09:13:00Z</dcterms:created>
  <dcterms:modified xsi:type="dcterms:W3CDTF">2024-05-16T09:13:00Z</dcterms:modified>
</cp:coreProperties>
</file>